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single" w:color="auto" w:sz="4"/>
          <w:left w:val="single" w:color="auto" w:sz="4"/>
          <w:bottom w:val="single" w:color="auto" w:sz="4"/>
          <w:right w:val="single" w:color="auto" w:sz="4"/>
          <w:insideH w:val="single" w:color="auto" w:sz="4"/>
          <w:insideV w:val="single" w:color="auto" w:sz="4"/>
        </w:tblBorders>
      </w:tblPr>
      <w:tblGrid>
        <w:gridCol w:w="11906"/>
      </w:tblGrid>
      <w:tr>
        <w:trPr>
          <w:trHeight w:val="16838" w:hRule="exact"/>
        </w:trPr>
        <w:tc>
          <w:tcPr>
            <w:tcW w:type="dxa" w:w="11906"/>
            <w:tcBorders>
              <w:top w:val="none" w:color="FFFFFF" w:sz="0"/>
              <w:left w:val="none" w:color="FFFFFF" w:sz="0"/>
              <w:bottom w:val="none" w:color="FFFFFF" w:sz="0"/>
              <w:right w:val="none" w:color="FFFFFF" w:sz="0"/>
            </w:tcBorders>
            <w:tcMar>
              <w:top w:type="dxa" w:w="0"/>
              <w:left w:type="dxa" w:w="1440"/>
              <w:bottom w:type="dxa" w:w="0"/>
              <w:right w:type="dxa" w:w="1440"/>
            </w:tcMar>
            <w:vAlign w:val="center"/>
          </w:tcPr>
          <w:p>
            <w:pPr>
              <w:spacing w:after="80"/>
              <w:jc w:val="center"/>
            </w:pPr>
            <w:r>
              <w:drawing>
                <wp:inline distT="0" distB="0" distL="0" distR="0">
                  <wp:extent cx="4286250" cy="1276350"/>
                  <wp:effectExtent t="0" r="0" b="0" l="0"/>
                  <wp:docPr id="1" name="FL Logo" descr="Francesco Laconi logo lockup" title="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286250" cy="1276350"/>
                          </a:xfrm>
                          <a:prstGeom prst="rect">
                            <a:avLst/>
                          </a:prstGeom>
                        </pic:spPr>
                      </pic:pic>
                    </a:graphicData>
                  </a:graphic>
                </wp:inline>
              </w:drawing>
            </w:r>
          </w:p>
          <w:p>
            <w:pPr>
              <w:pBdr>
                <w:bottom w:val="single" w:color="6b000c" w:sz="4" w:space="1"/>
              </w:pBdr>
              <w:spacing w:before="80" w:after="200"/>
              <w:jc w:val="center"/>
            </w:pPr>
          </w:p>
          <w:p>
            <w:pPr>
              <w:spacing w:after="100"/>
              <w:jc w:val="center"/>
            </w:pPr>
            <w:r>
              <w:rPr>
                <w:rFonts w:ascii="Helvetica" w:cs="Helvetica" w:eastAsia="Helvetica" w:hAnsi="Helvetica"/>
                <w:color w:val="666666"/>
                <w:spacing w:val="200"/>
                <w:sz w:val="20"/>
                <w:szCs w:val="20"/>
              </w:rPr>
              <w:t xml:space="preserve">STOCK ANALYSIS</w:t>
            </w:r>
          </w:p>
          <w:p>
            <w:pPr>
              <w:spacing w:after="120"/>
              <w:jc w:val="center"/>
            </w:pPr>
            <w:r>
              <w:rPr>
                <w:rFonts w:ascii="Helvetica" w:cs="Helvetica" w:eastAsia="Helvetica" w:hAnsi="Helvetica"/>
                <w:b/>
                <w:bCs/>
                <w:color w:val="6b000c"/>
                <w:sz w:val="56"/>
                <w:szCs w:val="56"/>
              </w:rPr>
              <w:t xml:space="preserve">Southern Copper Corporation</w:t>
            </w:r>
          </w:p>
          <w:p>
            <w:pPr>
              <w:spacing w:after="400"/>
              <w:jc w:val="center"/>
            </w:pPr>
            <w:r>
              <w:rPr>
                <w:rFonts w:ascii="Helvetica" w:cs="Helvetica" w:eastAsia="Helvetica" w:hAnsi="Helvetica"/>
                <w:color w:val="333333"/>
                <w:spacing w:val="100"/>
                <w:sz w:val="24"/>
                <w:szCs w:val="24"/>
              </w:rPr>
              <w:t xml:space="preserve">SCCO  |  NYSE</w:t>
            </w:r>
          </w:p>
          <w:p>
            <w:pPr>
              <w:spacing w:after="0"/>
              <w:jc w:val="center"/>
            </w:pPr>
            <w:r>
              <w:rPr>
                <w:rFonts w:ascii="Helvetica" w:cs="Helvetica" w:eastAsia="Helvetica" w:hAnsi="Helvetica"/>
                <w:color w:val="666666"/>
                <w:sz w:val="20"/>
                <w:szCs w:val="20"/>
              </w:rPr>
              <w:t xml:space="preserve">2026-06-05</w:t>
            </w:r>
          </w:p>
        </w:tc>
      </w:tr>
    </w:tbl>
    <w:p>
      <w:pPr>
        <w:sectPr>
          <w:pgSz w:w="11906" w:h="16838" w:orient="portrait"/>
          <w:pgMar w:top="0" w:right="0" w:bottom="0" w:left="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9026"/>
            <w:gridSpan w:val="2"/>
            <w:tcBorders>
              <w:top w:val="single" w:color="E0E0E0" w:sz="1"/>
              <w:left w:val="single" w:color="E0E0E0" w:sz="1"/>
              <w:bottom w:val="single" w:color="E0E0E0" w:sz="1"/>
              <w:right w:val="single" w:color="E0E0E0" w:sz="1"/>
            </w:tcBorders>
            <w:shd w:fill="6b000c" w:val="clear"/>
            <w:tcMar>
              <w:top w:type="dxa" w:w="60"/>
              <w:left w:type="dxa" w:w="120"/>
              <w:bottom w:type="dxa" w:w="60"/>
              <w:right w:type="dxa" w:w="120"/>
            </w:tcMar>
          </w:tcPr>
          <w:p>
            <w:r>
              <w:rPr>
                <w:rFonts w:ascii="Helvetica" w:cs="Helvetica" w:eastAsia="Helvetica" w:hAnsi="Helvetica"/>
                <w:b/>
                <w:bCs/>
                <w:color w:val="FFFFFF"/>
                <w:sz w:val="18"/>
                <w:szCs w:val="18"/>
              </w:rPr>
              <w:t xml:space="preserve">DATA RELIABILITY LEGEND</w:t>
            </w:r>
          </w:p>
        </w:tc>
      </w:tr>
      <w:tr>
        <w:tc>
          <w:tcPr>
            <w:tcW w:type="dxa" w:w="2200"/>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b/>
                <w:bCs/>
                <w:color w:val="1B7A2B"/>
                <w:sz w:val="22"/>
                <w:szCs w:val="22"/>
              </w:rPr>
              <w:t xml:space="preserve">+17%</w:t>
            </w:r>
          </w:p>
        </w:tc>
        <w:tc>
          <w:tcPr>
            <w:tcW w:type="dxa" w:w="6826"/>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333333"/>
                <w:sz w:val="20"/>
                <w:szCs w:val="20"/>
              </w:rPr>
              <w:t xml:space="preserve">Green = positive figure, directly from company filings</w:t>
            </w:r>
          </w:p>
        </w:tc>
      </w:tr>
      <w:tr>
        <w:tc>
          <w:tcPr>
            <w:tcW w:type="dxa" w:w="2200"/>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b/>
                <w:bCs/>
                <w:color w:val="CC0000"/>
                <w:sz w:val="22"/>
                <w:szCs w:val="22"/>
              </w:rPr>
              <w:t xml:space="preserve">-3%</w:t>
            </w:r>
          </w:p>
        </w:tc>
        <w:tc>
          <w:tcPr>
            <w:tcW w:type="dxa" w:w="6826"/>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color w:val="333333"/>
                <w:sz w:val="20"/>
                <w:szCs w:val="20"/>
              </w:rPr>
              <w:t xml:space="preserve">Red = negative figure, directly from company filings</w:t>
            </w:r>
          </w:p>
        </w:tc>
      </w:tr>
      <w:tr>
        <w:tc>
          <w:tcPr>
            <w:tcW w:type="dxa" w:w="2200"/>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1B7A2B"/>
                <w:sz w:val="22"/>
                <w:szCs w:val="22"/>
                <w:u w:val="single"/>
              </w:rPr>
              <w:t xml:space="preserve">12.5%</w:t>
            </w:r>
          </w:p>
        </w:tc>
        <w:tc>
          <w:tcPr>
            <w:tcW w:type="dxa" w:w="6826"/>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333333"/>
                <w:sz w:val="20"/>
                <w:szCs w:val="20"/>
              </w:rPr>
              <w:t xml:space="preserve">Underlined = analyst-computed or estimated (not from company filings)</w:t>
            </w:r>
          </w:p>
        </w:tc>
      </w:tr>
      <w:tr>
        <w:tc>
          <w:tcPr>
            <w:tcW w:type="dxa" w:w="2200"/>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b/>
                <w:bCs/>
                <w:color w:val="333333"/>
                <w:sz w:val="22"/>
                <w:szCs w:val="22"/>
              </w:rPr>
              <w:t xml:space="preserve">0%</w:t>
            </w:r>
          </w:p>
        </w:tc>
        <w:tc>
          <w:tcPr>
            <w:tcW w:type="dxa" w:w="6826"/>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color w:val="333333"/>
                <w:sz w:val="20"/>
                <w:szCs w:val="20"/>
              </w:rPr>
              <w:t xml:space="preserve">Black = zero or neutral / non-numerical text</w:t>
            </w:r>
          </w:p>
        </w:tc>
      </w:tr>
    </w:tbl>
    <w:p>
      <w:pPr>
        <w:spacing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gridSpan w:val="1"/>
            <w:tcBorders>
              <w:top w:val="single" w:color="E0E0E0" w:sz="1"/>
              <w:left w:val="single" w:color="E0E0E0" w:sz="1"/>
              <w:bottom w:val="single" w:color="E0E0E0" w:sz="1"/>
              <w:right w:val="single" w:color="E0E0E0" w:sz="1"/>
            </w:tcBorders>
            <w:shd w:fill="6b000c" w:val="clear"/>
            <w:tcMar>
              <w:top w:type="dxa" w:w="60"/>
              <w:left w:type="dxa" w:w="120"/>
              <w:bottom w:type="dxa" w:w="60"/>
              <w:right w:type="dxa" w:w="120"/>
            </w:tcMar>
          </w:tcPr>
          <w:p>
            <w:r>
              <w:rPr>
                <w:rFonts w:ascii="Helvetica" w:cs="Helvetica" w:eastAsia="Helvetica" w:hAnsi="Helvetica"/>
                <w:b/>
                <w:bCs/>
                <w:color w:val="FFFFFF"/>
                <w:sz w:val="18"/>
                <w:szCs w:val="18"/>
              </w:rPr>
              <w:t xml:space="preserve">CHART COLOR PALETTE — Use only these colors in all charts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rHeight w:val="600" w:hRule="atLeast"/>
        </w:trPr>
        <w:tc>
          <w:tcPr>
            <w:tcW w:type="dxa" w:w="1805"/>
            <w:tcBorders>
              <w:top w:val="single" w:color="E0E0E0" w:sz="1"/>
              <w:left w:val="single" w:color="E0E0E0" w:sz="1"/>
              <w:bottom w:val="single" w:color="E0E0E0" w:sz="1"/>
              <w:right w:val="single" w:color="E0E0E0" w:sz="1"/>
            </w:tcBorders>
            <w:shd w:fill="F2E4B7"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#F2E4B7</w:t>
            </w:r>
          </w:p>
        </w:tc>
        <w:tc>
          <w:tcPr>
            <w:tcW w:type="dxa" w:w="1805"/>
            <w:tcBorders>
              <w:top w:val="single" w:color="E0E0E0" w:sz="1"/>
              <w:left w:val="single" w:color="E0E0E0" w:sz="1"/>
              <w:bottom w:val="single" w:color="E0E0E0" w:sz="1"/>
              <w:right w:val="single" w:color="E0E0E0" w:sz="1"/>
            </w:tcBorders>
            <w:shd w:fill="F6EDC9"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#F6EDC9</w:t>
            </w:r>
          </w:p>
        </w:tc>
        <w:tc>
          <w:tcPr>
            <w:tcW w:type="dxa" w:w="1805"/>
            <w:tcBorders>
              <w:top w:val="single" w:color="E0E0E0" w:sz="1"/>
              <w:left w:val="single" w:color="E0E0E0" w:sz="1"/>
              <w:bottom w:val="single" w:color="E0E0E0" w:sz="1"/>
              <w:right w:val="single" w:color="E0E0E0" w:sz="1"/>
            </w:tcBorders>
            <w:shd w:fill="FCF5DB"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#FCF5DB</w:t>
            </w:r>
          </w:p>
        </w:tc>
        <w:tc>
          <w:tcPr>
            <w:tcW w:type="dxa" w:w="1805"/>
            <w:tcBorders>
              <w:top w:val="single" w:color="E0E0E0" w:sz="1"/>
              <w:left w:val="single" w:color="E0E0E0" w:sz="1"/>
              <w:bottom w:val="single" w:color="E0E0E0" w:sz="1"/>
              <w:right w:val="single" w:color="E0E0E0" w:sz="1"/>
            </w:tcBorders>
            <w:shd w:fill="F1EAB7"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#F1EAB7</w:t>
            </w:r>
          </w:p>
        </w:tc>
        <w:tc>
          <w:tcPr>
            <w:tcW w:type="dxa" w:w="1806"/>
            <w:tcBorders>
              <w:top w:val="single" w:color="E0E0E0" w:sz="1"/>
              <w:left w:val="single" w:color="E0E0E0" w:sz="1"/>
              <w:bottom w:val="single" w:color="E0E0E0" w:sz="1"/>
              <w:right w:val="single" w:color="E0E0E0" w:sz="1"/>
            </w:tcBorders>
            <w:shd w:fill="ECE09D"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#ECE09D</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rHeight w:val="600" w:hRule="atLeast"/>
        </w:trPr>
        <w:tc>
          <w:tcPr>
            <w:tcW w:type="dxa" w:w="1805"/>
            <w:tcBorders>
              <w:top w:val="single" w:color="E0E0E0" w:sz="1"/>
              <w:left w:val="single" w:color="E0E0E0" w:sz="1"/>
              <w:bottom w:val="single" w:color="E0E0E0" w:sz="1"/>
              <w:right w:val="single" w:color="E0E0E0" w:sz="1"/>
            </w:tcBorders>
            <w:shd w:fill="990013"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#990013</w:t>
            </w:r>
          </w:p>
        </w:tc>
        <w:tc>
          <w:tcPr>
            <w:tcW w:type="dxa" w:w="1805"/>
            <w:tcBorders>
              <w:top w:val="single" w:color="E0E0E0" w:sz="1"/>
              <w:left w:val="single" w:color="E0E0E0" w:sz="1"/>
              <w:bottom w:val="single" w:color="E0E0E0" w:sz="1"/>
              <w:right w:val="single" w:color="E0E0E0" w:sz="1"/>
            </w:tcBorders>
            <w:shd w:fill="890013"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#890013</w:t>
            </w:r>
          </w:p>
        </w:tc>
        <w:tc>
          <w:tcPr>
            <w:tcW w:type="dxa" w:w="1805"/>
            <w:tcBorders>
              <w:top w:val="single" w:color="E0E0E0" w:sz="1"/>
              <w:left w:val="single" w:color="E0E0E0" w:sz="1"/>
              <w:bottom w:val="single" w:color="E0E0E0" w:sz="1"/>
              <w:right w:val="single" w:color="E0E0E0" w:sz="1"/>
            </w:tcBorders>
            <w:shd w:fill="7a013e"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#7a013e</w:t>
            </w:r>
          </w:p>
        </w:tc>
        <w:tc>
          <w:tcPr>
            <w:tcW w:type="dxa" w:w="1805"/>
            <w:tcBorders>
              <w:top w:val="single" w:color="E0E0E0" w:sz="1"/>
              <w:left w:val="single" w:color="E0E0E0" w:sz="1"/>
              <w:bottom w:val="single" w:color="E0E0E0" w:sz="1"/>
              <w:right w:val="single" w:color="E0E0E0" w:sz="1"/>
            </w:tcBorders>
            <w:shd w:fill="6b013c"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#6b013c</w:t>
            </w:r>
          </w:p>
        </w:tc>
        <w:tc>
          <w:tcPr>
            <w:tcW w:type="dxa" w:w="1806"/>
            <w:tcBorders>
              <w:top w:val="single" w:color="E0E0E0" w:sz="1"/>
              <w:left w:val="single" w:color="E0E0E0" w:sz="1"/>
              <w:bottom w:val="single" w:color="E0E0E0" w:sz="1"/>
              <w:right w:val="single" w:color="E0E0E0" w:sz="1"/>
            </w:tcBorders>
            <w:shd w:fill="5b013a"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#5b013a</w:t>
            </w:r>
          </w:p>
        </w:tc>
      </w:tr>
    </w:tbl>
    <w:p>
      <w:pPr>
        <w:spacing w:before="300"/>
      </w:pPr>
    </w:p>
    <w:p>
      <w:pPr>
        <w:pBdr>
          <w:bottom w:val="single" w:color="6b000c" w:sz="6" w:space="8"/>
        </w:pBdr>
        <w:spacing w:after="300"/>
      </w:pPr>
      <w:r>
        <w:rPr>
          <w:rFonts w:ascii="Helvetica" w:cs="Helvetica" w:eastAsia="Helvetica" w:hAnsi="Helvetica"/>
          <w:b/>
          <w:bCs/>
          <w:color w:val="6b000c"/>
          <w:sz w:val="36"/>
          <w:szCs w:val="36"/>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spacing w:before="300" w:after="100"/>
      </w:pPr>
      <w:r>
        <w:rPr>
          <w:rFonts w:ascii="Helvetica" w:cs="Helvetica" w:eastAsia="Helvetica" w:hAnsi="Helvetica"/>
          <w:i/>
          <w:iCs/>
          <w:color w:val="666666"/>
          <w:sz w:val="18"/>
          <w:szCs w:val="18"/>
        </w:rPr>
        <w:t xml:space="preserve">Note: Right-click on the Table of Contents and select “Update Field” to refresh page numbers and links after editing the report.</w:t>
      </w:r>
    </w:p>
    <w:p>
      <w:r>
        <w:br w:type="page"/>
      </w:r>
    </w:p>
    <w:p>
      <w:pPr>
        <w:pStyle w:val="Heading1"/>
      </w:pPr>
      <w:r>
        <w:rPr>
          <w:rFonts w:ascii="Helvetica" w:hAnsi="Helvetica"/>
          <w:b/>
          <w:color w:val="6B000C"/>
          <w:sz w:val="36"/>
        </w:rPr>
        <w:t>Section 1 — Business Overview, Operations &amp; Competitive Positioning</w:t>
      </w:r>
    </w:p>
    <w:p>
      <w:r>
        <w:rPr>
          <w:rFonts w:ascii="Helvetica" w:hAnsi="Helvetica"/>
          <w:color w:val="333333"/>
          <w:sz w:val="20"/>
        </w:rPr>
        <w:t>---</w:t>
      </w:r>
    </w:p>
    <w:p>
      <w:pPr>
        <w:pStyle w:val="Heading2"/>
      </w:pPr>
      <w:r>
        <w:rPr>
          <w:rFonts w:ascii="Helvetica" w:hAnsi="Helvetica"/>
          <w:b/>
          <w:color w:val="6B000C"/>
          <w:sz w:val="32"/>
        </w:rPr>
        <w:t>1.1 The Business</w:t>
      </w:r>
    </w:p>
    <w:p>
      <w:r>
        <w:rPr>
          <w:rFonts w:ascii="Helvetica" w:hAnsi="Helvetica"/>
          <w:color w:val="333333"/>
          <w:sz w:val="20"/>
        </w:rPr>
        <w:t>Southern Copper Corporation is a vertically integrated copper producer that extracts ore from company-owned mines, processes it through company-owned smelters and refineries, and sells refined copper and co-product metals directly to end-use customers under annual and multi-year contracts — capturing margin at every stage of the production chain.</w:t>
      </w:r>
    </w:p>
    <w:p>
      <w:r>
        <w:rPr>
          <w:rFonts w:ascii="Helvetica" w:hAnsi="Helvetica"/>
          <w:color w:val="333333"/>
          <w:sz w:val="20"/>
        </w:rPr>
        <w:t>Southern Copper Corp (NYSE: SCCO) operates exclusively in Peru and Mexico, producing copper as its primary revenue driver alongside molybdenum, zinc, and silver as economically meaningful by-products. Management characterizes the company as one of the largest integrated copper producers in the world and states it holds the largest copper reserves of any producer globally. The business generates returns by combining a structural cost advantage — derived from large-scale open-pit mining with high ore grades and owned processing infrastructure — with a fully integrated production chain from ore to refined rod. Full-year FY2025 net sales reached $13,420.0M, a record for the company.</w:t>
      </w:r>
    </w:p>
    <w:p>
      <w:r>
        <w:rPr>
          <w:rFonts w:ascii="Helvetica" w:hAnsi="Helvetica"/>
          <w:b/>
          <w:color w:val="333333"/>
          <w:sz w:val="20"/>
        </w:rPr>
        <w:t>Key Information</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Ticker</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SCCO</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Sector / Industry</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Materials / Copper Mining</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Report Date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Most Recent FY Revenue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$13,420.0M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 (Most Recent FY)</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Shares Outstanding</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bl>
    <w:p>
      <w:r>
        <w:rPr>
          <w:rFonts w:ascii="Helvetica" w:hAnsi="Helvetica"/>
          <w:color w:val="333333"/>
          <w:sz w:val="20"/>
        </w:rPr>
        <w:t>---</w:t>
      </w:r>
    </w:p>
    <w:p>
      <w:pPr>
        <w:pStyle w:val="Heading2"/>
      </w:pPr>
      <w:r>
        <w:rPr>
          <w:rFonts w:ascii="Helvetica" w:hAnsi="Helvetica"/>
          <w:b/>
          <w:color w:val="6B000C"/>
          <w:sz w:val="32"/>
        </w:rPr>
        <w:t>1.2 Operating Segments</w:t>
      </w:r>
    </w:p>
    <w:p>
      <w:r>
        <w:rPr>
          <w:rFonts w:ascii="Helvetica" w:hAnsi="Helvetica"/>
          <w:color w:val="333333"/>
          <w:sz w:val="20"/>
        </w:rPr>
        <w:t>SCCO operates through three reportable segments, each a geographically and operationally distinct mining complex. Together they form a unified production system in which copper volume, ore grade, and by-product mix are the primary economic drivers.</w:t>
      </w:r>
    </w:p>
    <w:p>
      <w:r>
        <w:rPr>
          <w:rFonts w:ascii="Helvetica" w:hAnsi="Helvetica"/>
          <w:b/>
          <w:color w:val="333333"/>
          <w:sz w:val="20"/>
        </w:rPr>
        <w:t>Peruvian Operations.</w:t>
      </w:r>
      <w:r>
        <w:rPr>
          <w:rFonts w:ascii="Helvetica" w:hAnsi="Helvetica"/>
          <w:color w:val="333333"/>
          <w:sz w:val="20"/>
        </w:rPr>
        <w:t xml:space="preserve"> This segment anchors SCCO's production base. It comprises the Toquepala and Cuajone open-pit copper mines in the Andes of southern Peru, a copper smelter and refinery at Ilo, and an SX-EW (solvent extraction/electrowinning) facility at Toquepala that produces copper cathodes directly from leach solution without smelting. The economic driver is mined copper volume and realized copper price, with molybdenum and silver providing by-product credits. Peru is politically complex (addressed in Section 2), but the operational assets are mature, permitted, and long-lived.</w:t>
      </w:r>
    </w:p>
    <w:p>
      <w:r>
        <w:rPr>
          <w:rFonts w:ascii="Helvetica" w:hAnsi="Helvetica"/>
          <w:b/>
          <w:color w:val="333333"/>
          <w:sz w:val="20"/>
        </w:rPr>
        <w:t>Mexican Open-Pit Operations.</w:t>
      </w:r>
      <w:r>
        <w:rPr>
          <w:rFonts w:ascii="Helvetica" w:hAnsi="Helvetica"/>
          <w:color w:val="333333"/>
          <w:sz w:val="20"/>
        </w:rPr>
        <w:t xml:space="preserve"> Operated through Minera Mexico, this segment encompasses two world-scale mining complexes in Sonora. La Caridad is an integrated open-pit mine with its own concentrator, SX-EW plant, smelter, refinery, and copper rod plant. Buenavista del Cobre is described by management as one of the world's largest porphyry copper deposits, supported by two copper concentrators, a zinc concentrator commissioned in 2024, and three SX-EW plants. The Buenavista zinc concentrator is a material new production source: FY2025 saw a significant ramp in zinc volumes that contributed meaningfully to segment revenue growth and by-product credits against the copper cost base. This is SCCO's highest-revenue segment and the locus of the company's most significant forensic accounting risk — the ore stockpiles on leach pads capitalization (see flag F005, addressed in Section 2).</w:t>
      </w:r>
    </w:p>
    <w:p>
      <w:r>
        <w:rPr>
          <w:rFonts w:ascii="Helvetica" w:hAnsi="Helvetica"/>
          <w:b/>
          <w:color w:val="333333"/>
          <w:sz w:val="20"/>
        </w:rPr>
        <w:t>Mexican Underground Operations (IMMSA).</w:t>
      </w:r>
      <w:r>
        <w:rPr>
          <w:rFonts w:ascii="Helvetica" w:hAnsi="Helvetica"/>
          <w:color w:val="333333"/>
          <w:sz w:val="20"/>
        </w:rPr>
        <w:t xml:space="preserve"> Five underground mines in Mexico producing copper, zinc, silver, gold, and lead, plus a zinc refinery. IMMSA is a materially smaller segment by revenue but disproportionately important for silver and zinc production. It also carries a chronic liability: the Taxco mine has been on strike continuously since July 2007 — over 18 years — and remains suspended. A separate unresolved labor dispute at San Martin also persists. IMMSA's underlying economics are solid where operations are active, but the effective stranding of Taxco is a capital allocation drag that management has not resolved.</w:t>
      </w:r>
    </w:p>
    <w:p>
      <w:r>
        <w:rPr>
          <w:rFonts w:ascii="Helvetica" w:hAnsi="Helvetica"/>
          <w:b/>
          <w:color w:val="333333"/>
          <w:sz w:val="20"/>
        </w:rPr>
        <w:t>System dynamics.</w:t>
      </w:r>
      <w:r>
        <w:rPr>
          <w:rFonts w:ascii="Helvetica" w:hAnsi="Helvetica"/>
          <w:color w:val="333333"/>
          <w:sz w:val="20"/>
        </w:rPr>
        <w:t xml:space="preserve"> The three segments fit together in a way that creates both resilience and concentration risk. On the resilience side, by-product diversity (molybdenum, zinc, silver) means that in periods of strong copper price, revenue is elevated from copper; in periods of weak copper price, by-product credits compress the net cash cost per pound of copper, providing a partial natural hedge. The operating flywheel is: high ore grade × large scale × integrated processing = industry-leading net cash costs. The fragility is geographic: all mining, smelting, and refining occurs in two jurisdictions (Peru and Mexico) that have demonstrated a pattern of political instability, community opposition, and regulatory unpredictability. There is no operational geographic diversification.</w:t>
      </w:r>
    </w:p>
    <w:p>
      <w:r>
        <w:rPr>
          <w:rFonts w:ascii="Helvetica" w:hAnsi="Helvetica"/>
          <w:color w:val="333333"/>
          <w:sz w:val="20"/>
        </w:rPr>
        <w:t>---</w:t>
      </w:r>
    </w:p>
    <w:p>
      <w:pPr>
        <w:pStyle w:val="Heading2"/>
      </w:pPr>
      <w:r>
        <w:rPr>
          <w:rFonts w:ascii="Helvetica" w:hAnsi="Helvetica"/>
          <w:b/>
          <w:color w:val="6B000C"/>
          <w:sz w:val="32"/>
        </w:rPr>
        <w:t>1.3 Geographic Exposure</w:t>
      </w:r>
    </w:p>
    <w:p>
      <w:r>
        <w:rPr>
          <w:rFonts w:ascii="Helvetica" w:hAnsi="Helvetica"/>
          <w:color w:val="333333"/>
          <w:sz w:val="20"/>
        </w:rPr>
        <w:t>All of SCCO's production occurs in Peru and Mexico. The company reports no revenue from operations outside these two countries. Revenue is denominated in U.S. dollars — copper and by-product metals trade in global markets at USD prices — but a significant share of the operating cost base is denominated in Peruvian soles and Mexican pesos. Both currencies appreciated against the U.S. dollar in FY2025, which directly increased the dollar-equivalent cost of labour, energy, and materials sourced locally. This creates a structural asymmetry: revenue is currency-neutral while costs are partly currency-exposed, meaning peso and sol strength compresses margins even when metal prices are rising.</w:t>
      </w:r>
    </w:p>
    <w:p>
      <w:r>
        <w:rPr>
          <w:rFonts w:ascii="Helvetica" w:hAnsi="Helvetica"/>
          <w:color w:val="333333"/>
          <w:sz w:val="20"/>
        </w:rPr>
        <w:t>Peru is the location of the Peruvian Operations segment (Toquepala and Cuajone mines, Ilo smelter/refinery) and the Tia Maria development project. It is the site of the company's most significant political risk: five presidents have been removed from office since 2019, including one in October 2025. A sixth presidential change occurred in February 2026, and general elections are scheduled for April 2026. The operational concessions for existing mines are intact, but the instability creates uncertainty for permitting of new projects and for the mining fiscal regime going forward.</w:t>
      </w:r>
    </w:p>
    <w:p>
      <w:r>
        <w:rPr>
          <w:rFonts w:ascii="Helvetica" w:hAnsi="Helvetica"/>
          <w:color w:val="333333"/>
          <w:sz w:val="20"/>
        </w:rPr>
        <w:t>Mexico hosts the Minera Mexico operations (La Caridad and Buenavista in Sonora) and the IMMSA underground mines. Mexico's 2023 Mining Law amendments reduced the maximum term available for new concessions, a structural tightening of the regulatory environment. Drug-related security risk is present in the Sonora region. The Buenavista copper sulfate spill from 2014 continues to generate unresolved legal proceedings, including a 2023 criminal complaint from Mexican federal environmental authority SEMARNAT.</w:t>
      </w:r>
    </w:p>
    <w:p>
      <w:r>
        <w:rPr>
          <w:rFonts w:ascii="Helvetica" w:hAnsi="Helvetica"/>
          <w:color w:val="333333"/>
          <w:sz w:val="20"/>
        </w:rPr>
        <w:t>Currency risk on the cost side is not hedged systematically. The company's functional currency is the U.S. dollar, and adverse local currency movements are absorbed directly into the reported cost base.</w:t>
      </w:r>
    </w:p>
    <w:p>
      <w:r>
        <w:rPr>
          <w:rFonts w:ascii="Helvetica" w:hAnsi="Helvetica"/>
          <w:color w:val="333333"/>
          <w:sz w:val="20"/>
        </w:rPr>
        <w:t>---</w:t>
      </w:r>
    </w:p>
    <w:p>
      <w:pPr>
        <w:pStyle w:val="Heading2"/>
      </w:pPr>
      <w:r>
        <w:rPr>
          <w:rFonts w:ascii="Helvetica" w:hAnsi="Helvetica"/>
          <w:b/>
          <w:color w:val="6B000C"/>
          <w:sz w:val="32"/>
        </w:rPr>
        <w:t>1.4 Management Team</w:t>
      </w:r>
    </w:p>
    <w:p>
      <w:r>
        <w:rPr>
          <w:rFonts w:ascii="Helvetica" w:hAnsi="Helvetica"/>
          <w:color w:val="333333"/>
          <w:sz w:val="20"/>
        </w:rPr>
        <w:t>SCCO's leadership is structurally dominated by Grupo Mexico, the controlling shareholder with an 88.9% economic interest. This ownership structure is not merely a governance footnote — it determines who holds every significant officer and director role and creates the conditions for the related-party conflicts documented elsewhere in this report.</w:t>
      </w:r>
    </w:p>
    <w:p>
      <w:r>
        <w:rPr>
          <w:rFonts w:ascii="Helvetica" w:hAnsi="Helvetica"/>
          <w:color w:val="333333"/>
          <w:sz w:val="20"/>
        </w:rPr>
        <w:t>The Chairman of the Board is German Larrea Mota-Velasco, who simultaneously serves as Chairman of Grupo Mexico. The CEO is Oscar Gonzalez Rocha, who also holds the title of President and CEO of Americas Mining Corporation (SCCO's direct parent) and CEO of Asarco LLC. Asarco is simultaneously a key related-party vendor to SCCO — purchases from Asarco surged approximately 15-fold in FY2025 (flag F001). The Secretary of SCCO doubles as General Counsel of both Asarco LLC and Americas Mining Corporation. The structural consequence is that the individuals responsible for evaluating the fairness of SCCO's transactions with Asarco are the same individuals who manage Asarco on behalf of the Grupo Mexico parent. This is the foundational governance risk in the SCCO filing, explicitly acknowledged in the company's own risk factors: management cannot assure that Grupo Mexico's interests will not conflict with those of minority stockholders.</w:t>
      </w:r>
    </w:p>
    <w:p>
      <w:r>
        <w:rPr>
          <w:rFonts w:ascii="Helvetica" w:hAnsi="Helvetica"/>
          <w:color w:val="333333"/>
          <w:sz w:val="20"/>
        </w:rPr>
        <w:t>Management's stated operational strategy — cost control, production enhancement, and disciplined capital spending — is consistent and has been executed competently over a multi-year period. FY2025 was a record year for both net sales and net income. However, the management team's independence from the controlling shareholder is structurally limited, and any assessment of capital allocation or related-party transactions must be made with the understanding that the minority shareholder protection framework is weak relative to the governance standards expected of a U.S.-listed company.</w:t>
      </w:r>
    </w:p>
    <w:p>
      <w:r>
        <w:rPr>
          <w:rFonts w:ascii="Helvetica" w:hAnsi="Helvetica"/>
          <w:color w:val="333333"/>
          <w:sz w:val="20"/>
        </w:rPr>
        <w:t>No succession risk is disclosed. There are no disclosed gaps in functional coverage. The management team at the operating level (mines, smelters) benefits from significant institutional knowledge built over decades of operation in Peru and Mexico. The concern is structural, not operational.</w:t>
      </w:r>
    </w:p>
    <w:p>
      <w:r>
        <w:rPr>
          <w:rFonts w:ascii="Helvetica" w:hAnsi="Helvetica"/>
          <w:color w:val="333333"/>
          <w:sz w:val="20"/>
        </w:rPr>
        <w:t>---</w:t>
      </w:r>
    </w:p>
    <w:p>
      <w:pPr>
        <w:pStyle w:val="Heading2"/>
      </w:pPr>
      <w:r>
        <w:rPr>
          <w:rFonts w:ascii="Helvetica" w:hAnsi="Helvetica"/>
          <w:b/>
          <w:color w:val="6B000C"/>
          <w:sz w:val="32"/>
        </w:rPr>
        <w:t>1.5 Capital Allocation Track Record</w:t>
      </w:r>
    </w:p>
    <w:p>
      <w:r>
        <w:rPr>
          <w:rFonts w:ascii="Helvetica" w:hAnsi="Helvetica"/>
          <w:color w:val="333333"/>
          <w:sz w:val="20"/>
        </w:rPr>
        <w:t>SCCO's capital allocation over the past five years reflects a company with sufficient cash generation to simultaneously invest heavily in growth capacity and distribute large sums to shareholders, with dividends — both cash and, since Q2 2024, stock dividends paid from treasury shares — as the primary shareholder return mechanism. Share repurchases fund the treasury stock that is subsequently redistributed as stock dividends rather than serving as a conventional buyback program.</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Year</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Dividends Paid ($M)</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Share Repurchases ($M)</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CapEx ($M)</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Total Return to Shareholders ($M)</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FY2021</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(2,473.8)</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(892.3)</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FY2022</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(2,705.8)</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(948.5)</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FY2023</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(3,092.4)</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(1,008.6)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FY2024</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(1,637.2)</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(1,027.3)</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(2,485.1)</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(1,325.3)</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bl>
    <w:p>
      <w:pPr>
        <w:jc w:val="left"/>
      </w:pPr>
      <w:r>
        <w:rPr>
          <w:rFonts w:ascii="Helvetica" w:hAnsi="Helvetica"/>
          <w:i/>
          <w:color w:val="666666"/>
          <w:sz w:val="18"/>
        </w:rPr>
        <w:t>Source: SCCO 10-K FY2025, Consolidated Statements of Cash Flows; Excel workbook SCCO_Portfolio.xlsx, Data sheet.*</w:t>
      </w:r>
    </w:p>
    <w:p>
      <w:r>
        <w:rPr>
          <w:rFonts w:ascii="Helvetica" w:hAnsi="Helvetica"/>
          <w:color w:val="333333"/>
          <w:sz w:val="20"/>
        </w:rPr>
        <w:t>The capital allocation profile signals a management team confident in cash generation and willing to distribute it — but one that is increasingly directing capital toward a substantial growth pipeline. The FY2026 capital investment program has been approved at a higher level than FY2025, with Tia Maria (Peru), a new Buenavista concentrator, a new Buenavista tailings dam, IMMSA mine development, and Los Chancas as the principal projects. This CapEx escalation is the primary forward risk to the dividend payout rate: if copper prices soften while project spending increases, management will face an explicit trade-off between maintaining shareholder distributions and funding growth. The company states it expects to meet all cash requirements from internally generated funds, and the debt profile is conservative — all fixed-rate, with no maturity wall before 2028 (flag F010) — providing balance sheet flexibility.</w:t>
      </w:r>
    </w:p>
    <w:p>
      <w:r>
        <w:rPr>
          <w:rFonts w:ascii="Helvetica" w:hAnsi="Helvetica"/>
          <w:color w:val="333333"/>
          <w:sz w:val="20"/>
        </w:rPr>
        <w:t>One structural nuance warrants transparency in total-return calculations: since Q2 2024, SCCO has paid quarterly stock dividends from treasury shares in addition to cash dividends. The stock dividend mechanism means the nominal cash dividend per share understates total value distributed to shareholders. Any yield or payout ratio analysis must capture both components.</w:t>
      </w:r>
    </w:p>
    <w:p>
      <w:r>
        <w:rPr>
          <w:rFonts w:ascii="Helvetica" w:hAnsi="Helvetica"/>
          <w:color w:val="333333"/>
          <w:sz w:val="20"/>
        </w:rPr>
        <w:t>---</w:t>
      </w:r>
    </w:p>
    <w:p>
      <w:pPr>
        <w:pStyle w:val="Heading2"/>
      </w:pPr>
      <w:r>
        <w:rPr>
          <w:rFonts w:ascii="Helvetica" w:hAnsi="Helvetica"/>
          <w:b/>
          <w:color w:val="6B000C"/>
          <w:sz w:val="32"/>
        </w:rPr>
        <w:t>1.6 Competitive Positioning &amp; Moat</w:t>
      </w:r>
    </w:p>
    <w:p>
      <w:r>
        <w:rPr>
          <w:rFonts w:ascii="Helvetica" w:hAnsi="Helvetica"/>
          <w:b/>
          <w:color w:val="333333"/>
          <w:sz w:val="20"/>
        </w:rPr>
        <w:t>§1.6.1 Industry structure.</w:t>
      </w:r>
      <w:r>
        <w:rPr>
          <w:rFonts w:ascii="Helvetica" w:hAnsi="Helvetica"/>
          <w:color w:val="333333"/>
          <w:sz w:val="20"/>
        </w:rPr>
        <w:t xml:space="preserve"> Copper mining economics reward scale, ore grade, and integration. Returns in this industry are primarily driven by the spread between the market copper price (set globally, not by any individual producer) and the net cash cost per pound of production. Producers with the lowest all-in costs survive and generate returns across the commodity cycle; higher-cost producers face margin compression or closure in downturns. The global copper industry is concentrated at the top — a small number of very large producers (including Codelco, Freeport-McMoRan, BHP/Escondido, Glencore, and SCCO) together account for the majority of world production. Scale is a structural advantage because it amortizes fixed infrastructure costs (smelters, refineries, tailings facilities, logistics) across large volumes. Ore grade is a natural advantage — higher-grade deposits require less material to be mined and processed per pound of copper produced, directly reducing unit cost.</w:t>
      </w:r>
    </w:p>
    <w:p>
      <w:r>
        <w:rPr>
          <w:rFonts w:ascii="Helvetica" w:hAnsi="Helvetica"/>
          <w:b/>
          <w:color w:val="333333"/>
          <w:sz w:val="20"/>
        </w:rPr>
        <w:t>§1.6.2 Competitive advantages.</w:t>
      </w:r>
      <w:r>
        <w:rPr>
          <w:rFonts w:ascii="Helvetica" w:hAnsi="Helvetica"/>
          <w:color w:val="333333"/>
          <w:sz w:val="20"/>
        </w:rPr>
        <w:t xml:space="preserve"> SCCO's moat rests on four reinforcing elements:</w:t>
      </w:r>
    </w:p>
    <w:p>
      <w:r>
        <w:rPr>
          <w:rFonts w:ascii="Helvetica" w:hAnsi="Helvetica"/>
          <w:i/>
          <w:color w:val="333333"/>
          <w:sz w:val="20"/>
        </w:rPr>
        <w:t>Largest copper reserve base in the world.</w:t>
      </w:r>
      <w:r>
        <w:rPr>
          <w:rFonts w:ascii="Helvetica" w:hAnsi="Helvetica"/>
          <w:color w:val="333333"/>
          <w:sz w:val="20"/>
        </w:rPr>
        <w:t xml:space="preserve"> Management states — and this is not a marketing claim without operational substance — that SCCO holds the largest copper reserves globally. Reserve base is the foundational competitive advantage in mining: it determines mine life, underpins capital investment decisions, and provides optionality for growth when prices are favorable. A producer with 50+ years of reserve life at current production rates does not face the reserve replacement treadmill that pressures peers.</w:t>
      </w:r>
    </w:p>
    <w:p>
      <w:r>
        <w:rPr>
          <w:rFonts w:ascii="Helvetica" w:hAnsi="Helvetica"/>
          <w:i/>
          <w:color w:val="333333"/>
          <w:sz w:val="20"/>
        </w:rPr>
        <w:t>Low net cash cost per pound.</w:t>
      </w:r>
      <w:r>
        <w:rPr>
          <w:rFonts w:ascii="Helvetica" w:hAnsi="Helvetica"/>
          <w:color w:val="333333"/>
          <w:sz w:val="20"/>
        </w:rPr>
        <w:t xml:space="preserve"> The combination of large-scale open-pit mining, high ore grades at Toquepala, Cuajone, and Buenavista, full vertical integration (no tolling fees, no third-party smelting costs), and substantial by-product credits from molybdenum, zinc, and silver produces a net cash cost structure that management identifies as among the lowest in the global copper industry. In FY2025, the by-product credit effect was particularly pronounced — strong molybdenum, silver, and zinc prices reduced the reported net copper cash cost significantly. The 10-K discloses this metric explicitly but excludes workers' participation, royalties, and exploration from the calculation (flag F016); the fully-loaded GAAP cost is materially higher. Even on a GAAP basis, however, SCCO's cost structure is competitive.</w:t>
      </w:r>
    </w:p>
    <w:p>
      <w:r>
        <w:rPr>
          <w:rFonts w:ascii="Helvetica" w:hAnsi="Helvetica"/>
          <w:i/>
          <w:color w:val="333333"/>
          <w:sz w:val="20"/>
        </w:rPr>
        <w:t>Vertical integration and owned infrastructure.</w:t>
      </w:r>
      <w:r>
        <w:rPr>
          <w:rFonts w:ascii="Helvetica" w:hAnsi="Helvetica"/>
          <w:color w:val="333333"/>
          <w:sz w:val="20"/>
        </w:rPr>
        <w:t xml:space="preserve"> Mining through smelting, refining, and rod production occurs within SCCO's own facilities. This eliminates processing margin leakage to third parties and provides direct control over product quality and production scheduling. The SX-EW facilities at Toquepala and Buenavista add optionality: cathodes can be produced directly from lower-grade oxide ores that would otherwise be uneconomic to process through conventional concentrators.</w:t>
      </w:r>
    </w:p>
    <w:p>
      <w:r>
        <w:rPr>
          <w:rFonts w:ascii="Helvetica" w:hAnsi="Helvetica"/>
          <w:i/>
          <w:color w:val="333333"/>
          <w:sz w:val="20"/>
        </w:rPr>
        <w:t>Long-term customer relationships and contract structure.</w:t>
      </w:r>
      <w:r>
        <w:rPr>
          <w:rFonts w:ascii="Helvetica" w:hAnsi="Helvetica"/>
          <w:color w:val="333333"/>
          <w:sz w:val="20"/>
        </w:rPr>
        <w:t xml:space="preserve"> The majority of production is sold under annual or multi-year contracts with a customer base diversified across geographies and end-use sectors. No single customer represents more than a modest share of total sales, though the largest single customer's share of trade receivables jumped to 19.0% in FY2025 from 12.1% in FY2024 — a concentration trend warranting monitoring (flag F019).</w:t>
      </w:r>
    </w:p>
    <w:p>
      <w:r>
        <w:rPr>
          <w:rFonts w:ascii="Helvetica" w:hAnsi="Helvetica"/>
          <w:b/>
          <w:color w:val="333333"/>
          <w:sz w:val="20"/>
        </w:rPr>
        <w:t>§1.6.3 Competitive vulnerabilities.</w:t>
      </w:r>
      <w:r>
        <w:rPr>
          <w:rFonts w:ascii="Helvetica" w:hAnsi="Helvetica"/>
          <w:color w:val="333333"/>
          <w:sz w:val="20"/>
        </w:rPr>
        <w:t xml:space="preserve"> Three risks can erode the moat:</w:t>
      </w:r>
    </w:p>
    <w:p>
      <w:r>
        <w:rPr>
          <w:rFonts w:ascii="Helvetica" w:hAnsi="Helvetica"/>
          <w:i/>
          <w:color w:val="333333"/>
          <w:sz w:val="20"/>
        </w:rPr>
        <w:t>Ore grade decline.</w:t>
      </w:r>
      <w:r>
        <w:rPr>
          <w:rFonts w:ascii="Helvetica" w:hAnsi="Helvetica"/>
          <w:color w:val="333333"/>
          <w:sz w:val="20"/>
        </w:rPr>
        <w:t xml:space="preserve"> Management acknowledged in the FY2025 MD&amp;A that copper production decreased modestly in FY2025 due to lower ore grades at Toquepala, Cuajone, and Buenavista. Ore grade is the most important input to cash cost. A sustained grade decline at the core mines would mechanically increase cost per pound produced regardless of operating efficiency. The growth pipeline (Tia Maria, Los Chancas, Michiquillay, El Arco) is intended to offset this, but delivery timelines are long and subject to material execution and political risk.</w:t>
      </w:r>
    </w:p>
    <w:p>
      <w:r>
        <w:rPr>
          <w:rFonts w:ascii="Helvetica" w:hAnsi="Helvetica"/>
          <w:i/>
          <w:color w:val="333333"/>
          <w:sz w:val="20"/>
        </w:rPr>
        <w:t>Political and regulatory risk in concentrated geographies.</w:t>
      </w:r>
      <w:r>
        <w:rPr>
          <w:rFonts w:ascii="Helvetica" w:hAnsi="Helvetica"/>
          <w:color w:val="333333"/>
          <w:sz w:val="20"/>
        </w:rPr>
        <w:t xml:space="preserve"> All production is in Peru and Mexico. The structural vulnerability is asymmetric: a single adverse permitting decision, a mining law change, or a community disruption in either country directly impacts the entire business. The 2022 Cuajone disruption demonstrated this concretely. Peru's six presidential changes in six years and Mexico's Mining Law amendments are not abstract risks — they are live dynamics with direct implications for SCCO's project pipeline and existing concession terms.</w:t>
      </w:r>
    </w:p>
    <w:p>
      <w:r>
        <w:rPr>
          <w:rFonts w:ascii="Helvetica" w:hAnsi="Helvetica"/>
          <w:i/>
          <w:color w:val="333333"/>
          <w:sz w:val="20"/>
        </w:rPr>
        <w:t>Related-party cost structure opacity.</w:t>
      </w:r>
      <w:r>
        <w:rPr>
          <w:rFonts w:ascii="Helvetica" w:hAnsi="Helvetica"/>
          <w:color w:val="333333"/>
          <w:sz w:val="20"/>
        </w:rPr>
        <w:t xml:space="preserve"> Approximately 26% of SCCO's total production costs in FY2025 is energy. Virtually all of that energy is sourced from Grupo Mexico affiliates under multi-decade contracts with no disclosed pricing benchmarks (flag F002). If purchase prices are above market, the apparent cost advantage is partly illusory — value is being transferred to the parent rather than retained in SCCO. This cannot be evaluated from public disclosures.</w:t>
      </w:r>
    </w:p>
    <w:p>
      <w:r>
        <w:rPr>
          <w:rFonts w:ascii="Helvetica" w:hAnsi="Helvetica"/>
          <w:b/>
          <w:color w:val="333333"/>
          <w:sz w:val="20"/>
        </w:rPr>
        <w:t>§1.6.4 Verdict.</w:t>
      </w:r>
      <w:r>
        <w:rPr>
          <w:rFonts w:ascii="Helvetica" w:hAnsi="Helvetica"/>
          <w:color w:val="333333"/>
          <w:sz w:val="20"/>
        </w:rPr>
        <w:t xml:space="preserve"> SCCO's competitive position is genuine and durable in the base case. The reserve base, cost structure, and integrated infrastructure represent a real moat that takes decades to replicate. The business should generate above-average returns across the copper price cycle relative to higher-cost peers. However, the moat is structurally encumbered by two factors that institutional investors must price explicitly: first, the related-party ecosystem with Grupo Mexico creates a channel through which value can be extracted from the listed entity at minority shareholders' expense, with no disclosed arm's-length benchmarking; second, the geographic concentration in two politically volatile jurisdictions limits the margin of safety in stress scenarios. The long-run margin durability is strong on operational grounds but conditionally dependent on political stability and on the integrity of related-party pricing — neither of which can be taken for granted.</w:t>
      </w:r>
    </w:p>
    <w:p>
      <w:pPr>
        <w:jc w:val="center"/>
      </w:pPr>
      <w:r>
        <w:drawing>
          <wp:inline xmlns:a="http://schemas.openxmlformats.org/drawingml/2006/main" xmlns:pic="http://schemas.openxmlformats.org/drawingml/2006/picture">
            <wp:extent cx="5715000" cy="3164880"/>
            <wp:docPr id="2" name="Picture 2"/>
            <wp:cNvGraphicFramePr>
              <a:graphicFrameLocks noChangeAspect="1"/>
            </wp:cNvGraphicFramePr>
            <a:graphic>
              <a:graphicData uri="http://schemas.openxmlformats.org/drawingml/2006/picture">
                <pic:pic>
                  <pic:nvPicPr>
                    <pic:cNvPr id="0" name="Figure_1_Geography.png"/>
                    <pic:cNvPicPr/>
                  </pic:nvPicPr>
                  <pic:blipFill>
                    <a:blip r:embed="rId10"/>
                    <a:stretch>
                      <a:fillRect/>
                    </a:stretch>
                  </pic:blipFill>
                  <pic:spPr>
                    <a:xfrm>
                      <a:off x="0" y="0"/>
                      <a:ext cx="5715000" cy="3164880"/>
                    </a:xfrm>
                    <a:prstGeom prst="rect"/>
                  </pic:spPr>
                </pic:pic>
              </a:graphicData>
            </a:graphic>
          </wp:inline>
        </w:drawing>
      </w:r>
    </w:p>
    <w:p>
      <w:pPr>
        <w:jc w:val="center"/>
      </w:pPr>
      <w:r>
        <w:drawing>
          <wp:inline xmlns:a="http://schemas.openxmlformats.org/drawingml/2006/main" xmlns:pic="http://schemas.openxmlformats.org/drawingml/2006/picture">
            <wp:extent cx="5715000" cy="3182697"/>
            <wp:docPr id="3" name="Picture 3"/>
            <wp:cNvGraphicFramePr>
              <a:graphicFrameLocks noChangeAspect="1"/>
            </wp:cNvGraphicFramePr>
            <a:graphic>
              <a:graphicData uri="http://schemas.openxmlformats.org/drawingml/2006/picture">
                <pic:pic>
                  <pic:nvPicPr>
                    <pic:cNvPr id="0" name="Figure_1_ROIC_WACC.png"/>
                    <pic:cNvPicPr/>
                  </pic:nvPicPr>
                  <pic:blipFill>
                    <a:blip r:embed="rId11"/>
                    <a:stretch>
                      <a:fillRect/>
                    </a:stretch>
                  </pic:blipFill>
                  <pic:spPr>
                    <a:xfrm>
                      <a:off x="0" y="0"/>
                      <a:ext cx="5715000" cy="3182697"/>
                    </a:xfrm>
                    <a:prstGeom prst="rect"/>
                  </pic:spPr>
                </pic:pic>
              </a:graphicData>
            </a:graphic>
          </wp:inline>
        </w:drawing>
      </w:r>
    </w:p>
    <w:p>
      <w:pPr>
        <w:jc w:val="center"/>
      </w:pPr>
      <w:r>
        <w:drawing>
          <wp:inline xmlns:a="http://schemas.openxmlformats.org/drawingml/2006/main" xmlns:pic="http://schemas.openxmlformats.org/drawingml/2006/picture">
            <wp:extent cx="5715000" cy="3164880"/>
            <wp:docPr id="4" name="Picture 4"/>
            <wp:cNvGraphicFramePr>
              <a:graphicFrameLocks noChangeAspect="1"/>
            </wp:cNvGraphicFramePr>
            <a:graphic>
              <a:graphicData uri="http://schemas.openxmlformats.org/drawingml/2006/picture">
                <pic:pic>
                  <pic:nvPicPr>
                    <pic:cNvPr id="0" name="Figure_1_Segment.png"/>
                    <pic:cNvPicPr/>
                  </pic:nvPicPr>
                  <pic:blipFill>
                    <a:blip r:embed="rId12"/>
                    <a:stretch>
                      <a:fillRect/>
                    </a:stretch>
                  </pic:blipFill>
                  <pic:spPr>
                    <a:xfrm>
                      <a:off x="0" y="0"/>
                      <a:ext cx="5715000" cy="3164880"/>
                    </a:xfrm>
                    <a:prstGeom prst="rect"/>
                  </pic:spPr>
                </pic:pic>
              </a:graphicData>
            </a:graphic>
          </wp:inline>
        </w:drawing>
      </w:r>
    </w:p>
    <w:p>
      <w:pPr>
        <w:jc w:val="center"/>
      </w:pPr>
      <w:r>
        <w:drawing>
          <wp:inline xmlns:a="http://schemas.openxmlformats.org/drawingml/2006/main" xmlns:pic="http://schemas.openxmlformats.org/drawingml/2006/picture">
            <wp:extent cx="5715000" cy="3172017"/>
            <wp:docPr id="5" name="Picture 5"/>
            <wp:cNvGraphicFramePr>
              <a:graphicFrameLocks noChangeAspect="1"/>
            </wp:cNvGraphicFramePr>
            <a:graphic>
              <a:graphicData uri="http://schemas.openxmlformats.org/drawingml/2006/picture">
                <pic:pic>
                  <pic:nvPicPr>
                    <pic:cNvPr id="0" name="Figure_1_Shareholder_Returns.png"/>
                    <pic:cNvPicPr/>
                  </pic:nvPicPr>
                  <pic:blipFill>
                    <a:blip r:embed="rId13"/>
                    <a:stretch>
                      <a:fillRect/>
                    </a:stretch>
                  </pic:blipFill>
                  <pic:spPr>
                    <a:xfrm>
                      <a:off x="0" y="0"/>
                      <a:ext cx="5715000" cy="3172017"/>
                    </a:xfrm>
                    <a:prstGeom prst="rect"/>
                  </pic:spPr>
                </pic:pic>
              </a:graphicData>
            </a:graphic>
          </wp:inline>
        </w:drawing>
      </w:r>
    </w:p>
    <w:p>
      <w:pPr>
        <w:pStyle w:val="Heading1"/>
      </w:pPr>
      <w:r>
        <w:rPr>
          <w:rFonts w:ascii="Helvetica" w:hAnsi="Helvetica"/>
          <w:b/>
          <w:color w:val="6B000C"/>
          <w:sz w:val="36"/>
        </w:rPr>
        <w:t>Section 2 — Key Risks &amp; Catalysts</w:t>
      </w:r>
    </w:p>
    <w:p>
      <w:r>
        <w:rPr>
          <w:rFonts w:ascii="Helvetica" w:hAnsi="Helvetica"/>
          <w:i/>
          <w:color w:val="333333"/>
          <w:sz w:val="20"/>
        </w:rPr>
        <w:t>Southern Copper Corporation (SCCO) | FY2025 | Filed February 27, 2026</w:t>
      </w:r>
    </w:p>
    <w:p>
      <w:r>
        <w:rPr>
          <w:rFonts w:ascii="Helvetica" w:hAnsi="Helvetica"/>
          <w:color w:val="333333"/>
          <w:sz w:val="20"/>
        </w:rPr>
        <w:t>---</w:t>
      </w:r>
    </w:p>
    <w:p>
      <w:pPr>
        <w:pStyle w:val="Heading2"/>
      </w:pPr>
      <w:r>
        <w:rPr>
          <w:rFonts w:ascii="Helvetica" w:hAnsi="Helvetica"/>
          <w:b/>
          <w:color w:val="6B000C"/>
          <w:sz w:val="32"/>
        </w:rPr>
        <w:t>2.1 Downside Risks</w:t>
      </w:r>
    </w:p>
    <w:p>
      <w:r>
        <w:rPr>
          <w:rFonts w:ascii="Helvetica" w:hAnsi="Helvetica"/>
          <w:color w:val="333333"/>
          <w:sz w:val="20"/>
        </w:rPr>
        <w:t>SCCO's risk landscape is dominated by governance and related-party conflicts at the top of the ownership structure — not by operational deficiencies, which are genuinely strong — and these structural risks compound directly onto the commodity price exposure that is inherent in any copper-pure-play.</w:t>
      </w:r>
    </w:p>
    <w:p>
      <w:r>
        <w:rPr>
          <w:rFonts w:ascii="Helvetica" w:hAnsi="Helvetica"/>
          <w:color w:val="333333"/>
          <w:sz w:val="20"/>
        </w:rPr>
        <w:t>---</w:t>
      </w:r>
    </w:p>
    <w:p>
      <w:pPr>
        <w:pStyle w:val="Heading3"/>
      </w:pPr>
      <w:r>
        <w:rPr>
          <w:rFonts w:ascii="Helvetica" w:hAnsi="Helvetica"/>
          <w:b/>
          <w:color w:val="6B000C"/>
          <w:sz w:val="24"/>
        </w:rPr>
        <w:t>Risk 1 — Controlling Shareholder Structural Conflict: 88.9% Ownership, Interlocking Officers, and Explicit Fiduciary Disclaimer</w:t>
      </w:r>
    </w:p>
    <w:p>
      <w:r>
        <w:rPr>
          <w:rFonts w:ascii="Helvetica" w:hAnsi="Helvetica"/>
          <w:b/>
          <w:color w:val="333333"/>
          <w:sz w:val="20"/>
        </w:rPr>
        <w:t>[RED FLAG — F004]</w:t>
      </w:r>
    </w:p>
    <w:p>
      <w:r>
        <w:rPr>
          <w:rFonts w:ascii="Helvetica" w:hAnsi="Helvetica"/>
          <w:color w:val="333333"/>
          <w:sz w:val="20"/>
        </w:rPr>
        <w:t>Grupo México, through its wholly-owned subsidiary Americas Mining Corporation, controls 88.9% of SCCO's outstanding common stock. This ownership concentration is not merely a large block — it is an absolute majority that removes minority shareholders from any meaningful role in corporate governance. Board composition, director elections, dividend decisions, capital allocation, and related-party contract approvals are all outcomes that Grupo México determines unilaterally.</w:t>
      </w:r>
    </w:p>
    <w:p>
      <w:r>
        <w:rPr>
          <w:rFonts w:ascii="Helvetica" w:hAnsi="Helvetica"/>
          <w:color w:val="333333"/>
          <w:sz w:val="20"/>
        </w:rPr>
        <w:t>The governance problem is compounded by officer-level interlocks that create structural conflicts on the most important decisions the company faces. Oscar González Rocha is simultaneously Chief Executive Officer of SCCO, President and CEO of Americas Mining Corporation (SCCO's direct parent), and CEO of Asarco LLC — the single counterparty in the related-party transaction that surged approximately 15-fold in FY2025. The corporate secretary of SCCO doubles as General Counsel of both Asarco LLC and Americas Mining Corporation. The Chairman of SCCO's Board, Germán Larrea Mota-Velasco, simultaneously serves as Chairman of Grupo México. When the person responsible for evaluating whether Asarco's pricing terms are fair to SCCO minority shareholders is also the CEO of Asarco, the independence of that review is structurally compromised — not as a matter of individual integrity, but as a matter of structural design.</w:t>
      </w:r>
    </w:p>
    <w:p>
      <w:r>
        <w:rPr>
          <w:rFonts w:ascii="Helvetica" w:hAnsi="Helvetica"/>
          <w:color w:val="333333"/>
          <w:sz w:val="20"/>
        </w:rPr>
        <w:t xml:space="preserve">The filing itself discloses this risk in direct terms that should be read carefully: </w:t>
      </w:r>
      <w:r>
        <w:rPr>
          <w:rFonts w:ascii="Helvetica" w:hAnsi="Helvetica"/>
          <w:i/>
          <w:color w:val="333333"/>
          <w:sz w:val="20"/>
        </w:rPr>
        <w:t>"We cannot assure you that the interests of Grupo México will not conflict with those of our minority stockholders. Grupo México has the ability to determine the outcome of substantially all matters submitted for a vote to our stockholders and thus exercises control over our business policies and affairs."</w:t>
      </w:r>
      <w:r>
        <w:rPr>
          <w:rFonts w:ascii="Helvetica" w:hAnsi="Helvetica"/>
          <w:color w:val="333333"/>
          <w:sz w:val="20"/>
        </w:rPr>
        <w:t xml:space="preserve"> The filing also discloses, explicitly, that Grupo México could cause SCCO to increase dividends, extend loans, or transfer other funding to the parent if Grupo México's own financial obligations increase. This is not speculative — it is disclosed as a live risk in Item 1A.</w:t>
      </w:r>
    </w:p>
    <w:p>
      <w:r>
        <w:rPr>
          <w:rFonts w:ascii="Helvetica" w:hAnsi="Helvetica"/>
          <w:color w:val="333333"/>
          <w:sz w:val="20"/>
        </w:rPr>
        <w:t>The practical consequence is that portfolio managers holding SCCO are, in economic substance, minority limited partners in a structure where the general partner controls pricing, contract terms, and capital flows with affiliated entities — without obligation to disclose pricing benchmarks to the minority.</w:t>
      </w:r>
    </w:p>
    <w:p>
      <w:r>
        <w:rPr>
          <w:rFonts w:ascii="Helvetica" w:hAnsi="Helvetica"/>
          <w:b/>
          <w:color w:val="333333"/>
          <w:sz w:val="20"/>
        </w:rPr>
        <w:t>Probability:</w:t>
      </w:r>
      <w:r>
        <w:rPr>
          <w:rFonts w:ascii="Helvetica" w:hAnsi="Helvetica"/>
          <w:color w:val="333333"/>
          <w:sz w:val="20"/>
        </w:rPr>
        <w:t xml:space="preserve"> High (structural — not an event risk, but a permanent feature) | </w:t>
      </w:r>
      <w:r>
        <w:rPr>
          <w:rFonts w:ascii="Helvetica" w:hAnsi="Helvetica"/>
          <w:b/>
          <w:color w:val="333333"/>
          <w:sz w:val="20"/>
        </w:rPr>
        <w:t>Timeframe:</w:t>
      </w:r>
      <w:r>
        <w:rPr>
          <w:rFonts w:ascii="Helvetica" w:hAnsi="Helvetica"/>
          <w:color w:val="333333"/>
          <w:sz w:val="20"/>
        </w:rPr>
        <w:t xml:space="preserve"> Permanent / ongoing | </w:t>
      </w:r>
      <w:r>
        <w:rPr>
          <w:rFonts w:ascii="Helvetica" w:hAnsi="Helvetica"/>
          <w:b/>
          <w:color w:val="333333"/>
          <w:sz w:val="20"/>
        </w:rPr>
        <w:t>Quantified potential impact:</w:t>
      </w:r>
      <w:r>
        <w:rPr>
          <w:rFonts w:ascii="Helvetica" w:hAnsi="Helvetica"/>
          <w:color w:val="333333"/>
          <w:sz w:val="20"/>
        </w:rPr>
        <w:t xml:space="preserve"> Not directly quantifiable as a single event. The materiality is cumulative: if related-party energy, materials, and services purchases are priced above market by even a few percentage points on an aggregate related-party spend of $473.0 million, the annual transfer to the Grupo México network at minority expense is meaningful relative to SCCO's net income.</w:t>
      </w:r>
    </w:p>
    <w:p>
      <w:r>
        <w:rPr>
          <w:rFonts w:ascii="Helvetica" w:hAnsi="Helvetica"/>
          <w:color w:val="333333"/>
          <w:sz w:val="20"/>
        </w:rPr>
        <w:t>---</w:t>
      </w:r>
    </w:p>
    <w:p>
      <w:pPr>
        <w:pStyle w:val="Heading3"/>
      </w:pPr>
      <w:r>
        <w:rPr>
          <w:rFonts w:ascii="Helvetica" w:hAnsi="Helvetica"/>
          <w:b/>
          <w:color w:val="6B000C"/>
          <w:sz w:val="24"/>
        </w:rPr>
        <w:t>Risk 2 — Asarco LLC Purchases Surged Approximately 15-Fold in a Single Year with No Pricing Disclosure</w:t>
      </w:r>
    </w:p>
    <w:p>
      <w:r>
        <w:rPr>
          <w:rFonts w:ascii="Helvetica" w:hAnsi="Helvetica"/>
          <w:b/>
          <w:color w:val="333333"/>
          <w:sz w:val="20"/>
        </w:rPr>
        <w:t>[RED FLAG — F001]</w:t>
      </w:r>
    </w:p>
    <w:p>
      <w:r>
        <w:rPr>
          <w:rFonts w:ascii="Helvetica" w:hAnsi="Helvetica"/>
          <w:color w:val="333333"/>
          <w:sz w:val="20"/>
        </w:rPr>
        <w:t>Purchases from Asarco LLC — a wholly-owned Grupo México subsidiary that supplies copper concentrates, starter sheets, cathodes, bars, and tolling services to SCCO's Mexican operations — increased from $4.7 million in FY2024 to $71.5 million in FY2025, an increase of approximately 15 times in a single year. The related payable balance to Asarco surged in parallel, from $6.0 million at December 31, 2024 to $61.1 million at December 31, 2025 — approximately a 10-fold increase.</w:t>
      </w:r>
    </w:p>
    <w:p>
      <w:r>
        <w:rPr>
          <w:rFonts w:ascii="Helvetica" w:hAnsi="Helvetica"/>
          <w:color w:val="333333"/>
          <w:sz w:val="20"/>
        </w:rPr>
        <w:t>No explanation for this surge appears anywhere in the MD&amp;A. SCCO's copper production was flat to slightly lower in FY2025, which means the increase does not correspond to a proportional increase in SCCO's own processing volumes. The filing's general disclosure that all related-party transactions are "reviewed by the Audit Committee" is not a pricing methodology — it is a process disclosure. There is no benchmarking against third-party market prices, no disclosed formula, no reference price. For a transaction that grew approximately 15-fold in a year, the absence of pricing transparency is a material disclosure gap.</w:t>
      </w:r>
    </w:p>
    <w:p>
      <w:r>
        <w:rPr>
          <w:rFonts w:ascii="Helvetica" w:hAnsi="Helvetica"/>
          <w:color w:val="333333"/>
          <w:sz w:val="20"/>
        </w:rPr>
        <w:t>This matters financially. If SCCO is purchasing copper inputs from Asarco at prices above the market rate for those materials, the incremental cost flows directly into SCCO's cost of sales, reducing operating income that would otherwise accrue to all shareholders proportionally. The CEO of the company evaluating whether these terms are arm's-length is the same person who runs Asarco. That structural conflict is not resolved by Audit Committee review in the abstract.</w:t>
      </w:r>
    </w:p>
    <w:p>
      <w:r>
        <w:rPr>
          <w:rFonts w:ascii="Helvetica" w:hAnsi="Helvetica"/>
          <w:b/>
          <w:color w:val="333333"/>
          <w:sz w:val="20"/>
        </w:rPr>
        <w:t>Probability:</w:t>
      </w:r>
      <w:r>
        <w:rPr>
          <w:rFonts w:ascii="Helvetica" w:hAnsi="Helvetica"/>
          <w:color w:val="333333"/>
          <w:sz w:val="20"/>
        </w:rPr>
        <w:t xml:space="preserve"> High (the transaction structure is established and growing) | </w:t>
      </w:r>
      <w:r>
        <w:rPr>
          <w:rFonts w:ascii="Helvetica" w:hAnsi="Helvetica"/>
          <w:b/>
          <w:color w:val="333333"/>
          <w:sz w:val="20"/>
        </w:rPr>
        <w:t>Timeframe:</w:t>
      </w:r>
      <w:r>
        <w:rPr>
          <w:rFonts w:ascii="Helvetica" w:hAnsi="Helvetica"/>
          <w:color w:val="333333"/>
          <w:sz w:val="20"/>
        </w:rPr>
        <w:t xml:space="preserve"> Ongoing | </w:t>
      </w:r>
      <w:r>
        <w:rPr>
          <w:rFonts w:ascii="Helvetica" w:hAnsi="Helvetica"/>
          <w:b/>
          <w:color w:val="333333"/>
          <w:sz w:val="20"/>
        </w:rPr>
        <w:t>Quantified potential impact:</w:t>
      </w:r>
      <w:r>
        <w:rPr>
          <w:rFonts w:ascii="Helvetica" w:hAnsi="Helvetica"/>
          <w:color w:val="333333"/>
          <w:sz w:val="20"/>
        </w:rPr>
        <w:t xml:space="preserve"> A 5–10% above-market pricing premium on the FY2025 Asarco purchase volume would represent $3.6 million to $7.2 million of direct cost transfer from SCCO minority shareholders to the Grupo México network annually.</w:t>
      </w:r>
    </w:p>
    <w:p>
      <w:r>
        <w:rPr>
          <w:rFonts w:ascii="Helvetica" w:hAnsi="Helvetica"/>
          <w:color w:val="333333"/>
          <w:sz w:val="20"/>
        </w:rPr>
        <w:t>---</w:t>
      </w:r>
    </w:p>
    <w:p>
      <w:pPr>
        <w:pStyle w:val="Heading3"/>
      </w:pPr>
      <w:r>
        <w:rPr>
          <w:rFonts w:ascii="Helvetica" w:hAnsi="Helvetica"/>
          <w:b/>
          <w:color w:val="6B000C"/>
          <w:sz w:val="24"/>
        </w:rPr>
        <w:t>Risk 3 — Three Energy Supply Agreements with Grupo México Affiliates, Covering Approximately 26% of Production Costs, with No Disclosed Pricing Mechanics</w:t>
      </w:r>
    </w:p>
    <w:p>
      <w:r>
        <w:rPr>
          <w:rFonts w:ascii="Helvetica" w:hAnsi="Helvetica"/>
          <w:b/>
          <w:color w:val="333333"/>
          <w:sz w:val="20"/>
        </w:rPr>
        <w:t>[RED FLAG — F002]</w:t>
      </w:r>
    </w:p>
    <w:p>
      <w:r>
        <w:rPr>
          <w:rFonts w:ascii="Helvetica" w:hAnsi="Helvetica"/>
          <w:color w:val="333333"/>
          <w:sz w:val="20"/>
        </w:rPr>
        <w:t>Energy costs represent approximately 26% of SCCO's total production costs. Virtually all of SCCO's Mexican energy supply is sourced from three Grupo México subsidiaries under long-term contracts:</w:t>
      </w:r>
    </w:p>
    <w:p>
      <w:r>
        <w:rPr>
          <w:rFonts w:ascii="Helvetica" w:hAnsi="Helvetica"/>
          <w:color w:val="333333"/>
          <w:sz w:val="20"/>
        </w:rPr>
        <w:t xml:space="preserve">1. </w:t>
      </w:r>
      <w:r>
        <w:rPr>
          <w:rFonts w:ascii="Helvetica" w:hAnsi="Helvetica"/>
          <w:b/>
          <w:color w:val="333333"/>
          <w:sz w:val="20"/>
        </w:rPr>
        <w:t>MGE (Mexico Generadora de Energía)</w:t>
      </w:r>
      <w:r>
        <w:rPr>
          <w:rFonts w:ascii="Helvetica" w:hAnsi="Helvetica"/>
          <w:color w:val="333333"/>
          <w:sz w:val="20"/>
        </w:rPr>
        <w:t xml:space="preserve"> — natural gas combined-cycle power, contracted through 2032. FY2025 spend: $207.0 million (up from $172.6 million in FY2024). MGE supplied 88.5% of its output to SCCO in FY2025, meaning SCCO is essentially the captive customer with no market price to benchmark against.</w:t>
      </w:r>
    </w:p>
    <w:p>
      <w:r>
        <w:rPr>
          <w:rFonts w:ascii="Helvetica" w:hAnsi="Helvetica"/>
          <w:color w:val="333333"/>
          <w:sz w:val="20"/>
        </w:rPr>
        <w:t xml:space="preserve">2. </w:t>
      </w:r>
      <w:r>
        <w:rPr>
          <w:rFonts w:ascii="Helvetica" w:hAnsi="Helvetica"/>
          <w:b/>
          <w:color w:val="333333"/>
          <w:sz w:val="20"/>
        </w:rPr>
        <w:t>Eolica El Retiro</w:t>
      </w:r>
      <w:r>
        <w:rPr>
          <w:rFonts w:ascii="Helvetica" w:hAnsi="Helvetica"/>
          <w:color w:val="333333"/>
          <w:sz w:val="20"/>
        </w:rPr>
        <w:t xml:space="preserve"> — wind power. FY2025 spend: $2.9 million.</w:t>
      </w:r>
    </w:p>
    <w:p>
      <w:r>
        <w:rPr>
          <w:rFonts w:ascii="Helvetica" w:hAnsi="Helvetica"/>
          <w:color w:val="333333"/>
          <w:sz w:val="20"/>
        </w:rPr>
        <w:t xml:space="preserve">3. </w:t>
      </w:r>
      <w:r>
        <w:rPr>
          <w:rFonts w:ascii="Helvetica" w:hAnsi="Helvetica"/>
          <w:b/>
          <w:color w:val="333333"/>
          <w:sz w:val="20"/>
        </w:rPr>
        <w:t>Parque Eolico de Fenicias</w:t>
      </w:r>
      <w:r>
        <w:rPr>
          <w:rFonts w:ascii="Helvetica" w:hAnsi="Helvetica"/>
          <w:color w:val="333333"/>
          <w:sz w:val="20"/>
        </w:rPr>
        <w:t xml:space="preserve"> — wind power, 20-year contract signed 2020, first full year of commercial operation in FY2025. FY2025 spend: $41.1 million (up from $12.4 million). Parque Eolico supplied 98.1% of its output to SCCO's IMMSA unit — a near-total captive relationship.</w:t>
      </w:r>
    </w:p>
    <w:p>
      <w:r>
        <w:rPr>
          <w:rFonts w:ascii="Helvetica" w:hAnsi="Helvetica"/>
          <w:color w:val="333333"/>
          <w:sz w:val="20"/>
        </w:rPr>
        <w:t>None of the three agreements disclose a pricing formula, a rate per megawatt-hour, or a comparison to any third-party benchmark. For each contract, the only assurance available to minority shareholders is that the Audit Committee reviewed the arrangement — the same structural weakness that applies to all SCCO related-party disclosures.</w:t>
      </w:r>
    </w:p>
    <w:p>
      <w:r>
        <w:rPr>
          <w:rFonts w:ascii="Helvetica" w:hAnsi="Helvetica"/>
          <w:color w:val="333333"/>
          <w:sz w:val="20"/>
        </w:rPr>
        <w:t>Total related-party energy spend across these three agreements for FY2025 was $251.0 million. Over a 10-to-20-year contract life, even a modest above-market energy rate compounds into a very large sum. The fact that the counterparties in all three cases supply almost exclusively to SCCO means there is no genuine price discovery in the market — the rate is what Grupo México sets it to be.</w:t>
      </w:r>
    </w:p>
    <w:p>
      <w:r>
        <w:rPr>
          <w:rFonts w:ascii="Helvetica" w:hAnsi="Helvetica"/>
          <w:b/>
          <w:color w:val="333333"/>
          <w:sz w:val="20"/>
        </w:rPr>
        <w:t>Probability:</w:t>
      </w:r>
      <w:r>
        <w:rPr>
          <w:rFonts w:ascii="Helvetica" w:hAnsi="Helvetica"/>
          <w:color w:val="333333"/>
          <w:sz w:val="20"/>
        </w:rPr>
        <w:t xml:space="preserve"> High (contracts are long-term and locked in) | </w:t>
      </w:r>
      <w:r>
        <w:rPr>
          <w:rFonts w:ascii="Helvetica" w:hAnsi="Helvetica"/>
          <w:b/>
          <w:color w:val="333333"/>
          <w:sz w:val="20"/>
        </w:rPr>
        <w:t>Timeframe:</w:t>
      </w:r>
      <w:r>
        <w:rPr>
          <w:rFonts w:ascii="Helvetica" w:hAnsi="Helvetica"/>
          <w:color w:val="333333"/>
          <w:sz w:val="20"/>
        </w:rPr>
        <w:t xml:space="preserve"> Ongoing through 2032 (MGE) and through approximately 2040 (Parque Eolico) | </w:t>
      </w:r>
      <w:r>
        <w:rPr>
          <w:rFonts w:ascii="Helvetica" w:hAnsi="Helvetica"/>
          <w:b/>
          <w:color w:val="333333"/>
          <w:sz w:val="20"/>
        </w:rPr>
        <w:t>Quantified potential impact:</w:t>
      </w:r>
      <w:r>
        <w:rPr>
          <w:rFonts w:ascii="Helvetica" w:hAnsi="Helvetica"/>
          <w:color w:val="333333"/>
          <w:sz w:val="20"/>
        </w:rPr>
        <w:t xml:space="preserve"> Not quantifiable without disclosed pricing. As a reference, energy costs in FY2025 contributed meaningfully to the total cost increase year-over-year. A 10% above-market pricing assumption on $251.0 million of annual energy spend represents a material annual transfer.</w:t>
      </w:r>
    </w:p>
    <w:p>
      <w:r>
        <w:rPr>
          <w:rFonts w:ascii="Helvetica" w:hAnsi="Helvetica"/>
          <w:color w:val="333333"/>
          <w:sz w:val="20"/>
        </w:rPr>
        <w:t>---</w:t>
      </w:r>
    </w:p>
    <w:p>
      <w:pPr>
        <w:pStyle w:val="Heading3"/>
      </w:pPr>
      <w:r>
        <w:rPr>
          <w:rFonts w:ascii="Helvetica" w:hAnsi="Helvetica"/>
          <w:b/>
          <w:color w:val="6B000C"/>
          <w:sz w:val="24"/>
        </w:rPr>
        <w:t>Risk 4 — Peruvian Labor Shares Case: Active Court Execution Order Against 8.5 Million Investment Shares</w:t>
      </w:r>
    </w:p>
    <w:p>
      <w:r>
        <w:rPr>
          <w:rFonts w:ascii="Helvetica" w:hAnsi="Helvetica"/>
          <w:b/>
          <w:color w:val="333333"/>
          <w:sz w:val="20"/>
        </w:rPr>
        <w:t>[RED FLAG — F006]</w:t>
      </w:r>
    </w:p>
    <w:p>
      <w:r>
        <w:rPr>
          <w:rFonts w:ascii="Helvetica" w:hAnsi="Helvetica"/>
          <w:color w:val="333333"/>
          <w:sz w:val="20"/>
        </w:rPr>
        <w:t>A lawsuit filed in 1996 (Garcia Ataucuri) by former Peruvian workers seeking labor participation shares reached active execution stage in December 2025. On December 22, 2025, the First Civil Court of Lima issued resolutions ordering the physical delivery of 8,488,383 investment shares held by Compañía Minera Los Tolmos to the plaintiffs, with instructions to the Securities and Settlement Registry (CAVALI) to register the shares in the plaintiffs' names.</w:t>
      </w:r>
    </w:p>
    <w:p>
      <w:r>
        <w:rPr>
          <w:rFonts w:ascii="Helvetica" w:hAnsi="Helvetica"/>
          <w:color w:val="333333"/>
          <w:sz w:val="20"/>
        </w:rPr>
        <w:t>The Company filed appeals on December 30, 2025. On February 11, 2026 — after fiscal year-end — a constitutional court ruling declared the civil court resolutions null, and on February 24, 2026, the First Civil Court was ordered to provisionally refrain from executing the transfer. The provisional block is exactly that: provisional. The underlying judgment has not been extinguished, the expert appraisal of the shares' value has not been finalized, and the case retains an active execution posture.</w:t>
      </w:r>
    </w:p>
    <w:p>
      <w:r>
        <w:rPr>
          <w:rFonts w:ascii="Helvetica" w:hAnsi="Helvetica"/>
          <w:color w:val="333333"/>
          <w:sz w:val="20"/>
        </w:rPr>
        <w:t>To put the quantum in context: the Supreme Court upheld plaintiff claims in 2009, and the case has been in the execution stage since then, meaning this is not a liability that is being tested on the merits — it is a liability being executed. Nearly 8.5 million investment shares of SCCO (or equivalent compensation) represent a material potential obligation, though the exact value awaits the pending expert appraisal. No provision has been recorded by the Company, which states the amount cannot be reasonably estimated.</w:t>
      </w:r>
    </w:p>
    <w:p>
      <w:r>
        <w:rPr>
          <w:rFonts w:ascii="Helvetica" w:hAnsi="Helvetica"/>
          <w:color w:val="333333"/>
          <w:sz w:val="20"/>
        </w:rPr>
        <w:t>This is the only item in this report that escalated materially between December 31, 2025 and the filing date. Portfolio managers should treat this as a live contingency, not a dormant legacy proceeding.</w:t>
      </w:r>
    </w:p>
    <w:p>
      <w:r>
        <w:rPr>
          <w:rFonts w:ascii="Helvetica" w:hAnsi="Helvetica"/>
          <w:b/>
          <w:color w:val="333333"/>
          <w:sz w:val="20"/>
        </w:rPr>
        <w:t>Probability:</w:t>
      </w:r>
      <w:r>
        <w:rPr>
          <w:rFonts w:ascii="Helvetica" w:hAnsi="Helvetica"/>
          <w:color w:val="333333"/>
          <w:sz w:val="20"/>
        </w:rPr>
        <w:t xml:space="preserve"> Medium (provisional stay is currently in place, but the underlying execution order is not extinguished) | </w:t>
      </w:r>
      <w:r>
        <w:rPr>
          <w:rFonts w:ascii="Helvetica" w:hAnsi="Helvetica"/>
          <w:b/>
          <w:color w:val="333333"/>
          <w:sz w:val="20"/>
        </w:rPr>
        <w:t>Timeframe:</w:t>
      </w:r>
      <w:r>
        <w:rPr>
          <w:rFonts w:ascii="Helvetica" w:hAnsi="Helvetica"/>
          <w:color w:val="333333"/>
          <w:sz w:val="20"/>
        </w:rPr>
        <w:t xml:space="preserve"> Immediate — the February 2026 provisional block may be challenged in 2026 | </w:t>
      </w:r>
      <w:r>
        <w:rPr>
          <w:rFonts w:ascii="Helvetica" w:hAnsi="Helvetica"/>
          <w:b/>
          <w:color w:val="333333"/>
          <w:sz w:val="20"/>
        </w:rPr>
        <w:t>Quantified potential impact:</w:t>
      </w:r>
      <w:r>
        <w:rPr>
          <w:rFonts w:ascii="Helvetica" w:hAnsi="Helvetica"/>
          <w:color w:val="333333"/>
          <w:sz w:val="20"/>
        </w:rPr>
        <w:t xml:space="preserve"> Not quantifiable without the pending expert appraisal. 8,488,383 investment shares at prevailing SPCC investment share prices represents the gross exposure. The Company has booked zero provision.</w:t>
      </w:r>
    </w:p>
    <w:p>
      <w:r>
        <w:rPr>
          <w:rFonts w:ascii="Helvetica" w:hAnsi="Helvetica"/>
          <w:color w:val="333333"/>
          <w:sz w:val="20"/>
        </w:rPr>
        <w:t>---</w:t>
      </w:r>
    </w:p>
    <w:p>
      <w:pPr>
        <w:pStyle w:val="Heading3"/>
      </w:pPr>
      <w:r>
        <w:rPr>
          <w:rFonts w:ascii="Helvetica" w:hAnsi="Helvetica"/>
          <w:b/>
          <w:color w:val="6B000C"/>
          <w:sz w:val="24"/>
        </w:rPr>
        <w:t>Risk 5 — Leach Pad Ore Stockpile: The Sole Critical Audit Matter Is a Multi-Hundred-Million-Dollar Management-Controlled Estimate</w:t>
      </w:r>
    </w:p>
    <w:p>
      <w:r>
        <w:rPr>
          <w:rFonts w:ascii="Helvetica" w:hAnsi="Helvetica"/>
          <w:b/>
          <w:color w:val="333333"/>
          <w:sz w:val="20"/>
        </w:rPr>
        <w:t>[RED FLAG — F005]</w:t>
      </w:r>
    </w:p>
    <w:p>
      <w:r>
        <w:rPr>
          <w:rFonts w:ascii="Helvetica" w:hAnsi="Helvetica"/>
          <w:color w:val="333333"/>
          <w:sz w:val="20"/>
        </w:rPr>
        <w:t>Deloitte's affiliate (Galaz, Yamazaki, Ruiz Urquiza) identified exactly one Critical Audit Matter in SCCO's FY2025 10-K: the capitalization of costs attributable to leachable ore stockpiles at the Mexican operations. Long-term ore stockpiles on leach pads were carried at $1,114.5 million at December 31, 2025 (compared to $1,145.8 million at December 31, 2024).</w:t>
      </w:r>
    </w:p>
    <w:p>
      <w:r>
        <w:rPr>
          <w:rFonts w:ascii="Helvetica" w:hAnsi="Helvetica"/>
          <w:color w:val="333333"/>
          <w:sz w:val="20"/>
        </w:rPr>
        <w:t xml:space="preserve">The capitalized value of this asset depends entirely on three inputs that management controls and estimates: copper content grade, solubility index, and recovery rate. The auditor states directly: </w:t>
      </w:r>
      <w:r>
        <w:rPr>
          <w:rFonts w:ascii="Helvetica" w:hAnsi="Helvetica"/>
          <w:i/>
          <w:color w:val="333333"/>
          <w:sz w:val="20"/>
        </w:rPr>
        <w:t>"The leachable material inventory determined could be misstated if the copper content grade, the solubility index and the recovery rate used by the Company does not correspond to the actual results obtained from the laboratories and engineering studies."</w:t>
      </w:r>
    </w:p>
    <w:p>
      <w:r>
        <w:rPr>
          <w:rFonts w:ascii="Helvetica" w:hAnsi="Helvetica"/>
          <w:color w:val="333333"/>
          <w:sz w:val="20"/>
        </w:rPr>
        <w:t>This is a structural quality-of-earnings risk. Cost that should be expensed in the current period is instead capitalized to this long-term inventory and recognized as cost of sales only when copper is physically recovered — potentially years in the future. If management's recovery rate assumptions are optimistic by even a few percentage points, deferred costs that should reduce current period earnings instead remain on the balance sheet and inflate reported net income. Annual additions to this inventory were $245.2 million in FY2025. Annual cost of sales drawdowns from this inventory were $255.2 million. The net balance compounds over time, making earlier-year assumption errors larger and harder to detect.</w:t>
      </w:r>
    </w:p>
    <w:p>
      <w:r>
        <w:rPr>
          <w:rFonts w:ascii="Helvetica" w:hAnsi="Helvetica"/>
          <w:color w:val="333333"/>
          <w:sz w:val="20"/>
        </w:rPr>
        <w:t>The auditor's use of technical specialists and site visits is appropriate procedure, but the auditor cannot physically verify future copper recovery — that remains a management judgment. The sole CAM designation in an otherwise clean audit opinion is itself a disclosure signal about where the risk is concentrated.</w:t>
      </w:r>
    </w:p>
    <w:p>
      <w:r>
        <w:rPr>
          <w:rFonts w:ascii="Helvetica" w:hAnsi="Helvetica"/>
          <w:b/>
          <w:color w:val="333333"/>
          <w:sz w:val="20"/>
        </w:rPr>
        <w:t>Probability:</w:t>
      </w:r>
      <w:r>
        <w:rPr>
          <w:rFonts w:ascii="Helvetica" w:hAnsi="Helvetica"/>
          <w:color w:val="333333"/>
          <w:sz w:val="20"/>
        </w:rPr>
        <w:t xml:space="preserve"> Medium (the estimate is reviewed annually by the auditor; outright fraud is unlikely, but optimistic assumptions are possible) | </w:t>
      </w:r>
      <w:r>
        <w:rPr>
          <w:rFonts w:ascii="Helvetica" w:hAnsi="Helvetica"/>
          <w:b/>
          <w:color w:val="333333"/>
          <w:sz w:val="20"/>
        </w:rPr>
        <w:t>Timeframe:</w:t>
      </w:r>
      <w:r>
        <w:rPr>
          <w:rFonts w:ascii="Helvetica" w:hAnsi="Helvetica"/>
          <w:color w:val="333333"/>
          <w:sz w:val="20"/>
        </w:rPr>
        <w:t xml:space="preserve"> Multi-year (errors in recovery assumptions surface only when copper fails to materialize from the leach pads) | </w:t>
      </w:r>
      <w:r>
        <w:rPr>
          <w:rFonts w:ascii="Helvetica" w:hAnsi="Helvetica"/>
          <w:b/>
          <w:color w:val="333333"/>
          <w:sz w:val="20"/>
        </w:rPr>
        <w:t>Quantified potential impact:</w:t>
      </w:r>
      <w:r>
        <w:rPr>
          <w:rFonts w:ascii="Helvetica" w:hAnsi="Helvetica"/>
          <w:color w:val="333333"/>
          <w:sz w:val="20"/>
        </w:rPr>
        <w:t xml:space="preserve"> Material. A revision to the recovery rate assumption that required $1,114.5 million (or a fraction of it) to be expensed rather than capitalized would flow directly into cost of goods sold and reduce operating income and net income in the period of revision.</w:t>
      </w:r>
    </w:p>
    <w:p>
      <w:r>
        <w:rPr>
          <w:rFonts w:ascii="Helvetica" w:hAnsi="Helvetica"/>
          <w:color w:val="333333"/>
          <w:sz w:val="20"/>
        </w:rPr>
        <w:t>---</w:t>
      </w:r>
    </w:p>
    <w:p>
      <w:pPr>
        <w:pStyle w:val="Heading3"/>
      </w:pPr>
      <w:r>
        <w:rPr>
          <w:rFonts w:ascii="Helvetica" w:hAnsi="Helvetica"/>
          <w:b/>
          <w:color w:val="6B000C"/>
          <w:sz w:val="24"/>
        </w:rPr>
        <w:t>Risk 6 — Related-Party Payables Nearly Tripled Year-Over-Year, Signaling Growing Financial Entanglement with Grupo México</w:t>
      </w:r>
    </w:p>
    <w:p>
      <w:r>
        <w:rPr>
          <w:rFonts w:ascii="Helvetica" w:hAnsi="Helvetica"/>
          <w:b/>
          <w:color w:val="333333"/>
          <w:sz w:val="20"/>
        </w:rPr>
        <w:t>[RED FLAG — F003]</w:t>
      </w:r>
    </w:p>
    <w:p>
      <w:r>
        <w:rPr>
          <w:rFonts w:ascii="Helvetica" w:hAnsi="Helvetica"/>
          <w:color w:val="333333"/>
          <w:sz w:val="20"/>
        </w:rPr>
        <w:t>Total payables to related parties increased from $49.2 million at December 31, 2024 to $138.4 million at December 31, 2025 — a near-tripling driven principally by the Asarco payable (from $6.0 million to $61.1 million) and the MGE payable (from $15.9 million to $30.2 million). The forensic analyst confirmed the total related-party payable balance as $138.4 million at December 31, 2025 against $49.2 million at December 31, 2024.</w:t>
      </w:r>
    </w:p>
    <w:p>
      <w:r>
        <w:rPr>
          <w:rFonts w:ascii="Helvetica" w:hAnsi="Helvetica"/>
          <w:color w:val="333333"/>
          <w:sz w:val="20"/>
        </w:rPr>
        <w:t>The tripling of the payable balance could be explained by either (a) genuinely increased procurement volumes from related-party suppliers, or (b) payment terms that were extended favorably to SCCO, functioning as informal financing from the Grupo México network. Neither explanation is disclosed. What is clear is the direction: SCCO's financial entanglement with its parent group's subsidiaries has deepened materially in a single year. Receivables from related parties were $16.2 million at year-end 2025, confirming SCCO is in a net liability position to the Grupo México network.</w:t>
      </w:r>
    </w:p>
    <w:p>
      <w:r>
        <w:rPr>
          <w:rFonts w:ascii="Helvetica" w:hAnsi="Helvetica"/>
          <w:color w:val="333333"/>
          <w:sz w:val="20"/>
        </w:rPr>
        <w:t>This trend matters for analysts because it represents a growing off-balance-sheet dependency on related-party supply — one where pricing transparency is already absent and where the counterparties are controlled by the majority shareholder.</w:t>
      </w:r>
    </w:p>
    <w:p>
      <w:r>
        <w:rPr>
          <w:rFonts w:ascii="Helvetica" w:hAnsi="Helvetica"/>
          <w:b/>
          <w:color w:val="333333"/>
          <w:sz w:val="20"/>
        </w:rPr>
        <w:t>Probability:</w:t>
      </w:r>
      <w:r>
        <w:rPr>
          <w:rFonts w:ascii="Helvetica" w:hAnsi="Helvetica"/>
          <w:color w:val="333333"/>
          <w:sz w:val="20"/>
        </w:rPr>
        <w:t xml:space="preserve"> High (structural and already in motion) | </w:t>
      </w:r>
      <w:r>
        <w:rPr>
          <w:rFonts w:ascii="Helvetica" w:hAnsi="Helvetica"/>
          <w:b/>
          <w:color w:val="333333"/>
          <w:sz w:val="20"/>
        </w:rPr>
        <w:t>Timeframe:</w:t>
      </w:r>
      <w:r>
        <w:rPr>
          <w:rFonts w:ascii="Helvetica" w:hAnsi="Helvetica"/>
          <w:color w:val="333333"/>
          <w:sz w:val="20"/>
        </w:rPr>
        <w:t xml:space="preserve"> Ongoing | </w:t>
      </w:r>
      <w:r>
        <w:rPr>
          <w:rFonts w:ascii="Helvetica" w:hAnsi="Helvetica"/>
          <w:b/>
          <w:color w:val="333333"/>
          <w:sz w:val="20"/>
        </w:rPr>
        <w:t>Quantified potential impact:</w:t>
      </w:r>
      <w:r>
        <w:rPr>
          <w:rFonts w:ascii="Helvetica" w:hAnsi="Helvetica"/>
          <w:color w:val="333333"/>
          <w:sz w:val="20"/>
        </w:rPr>
        <w:t xml:space="preserve"> The immediate financial risk is working capital — if related-party supply terms were ever tightened (Grupo México demanding faster payment), SCCO's cash flow in the affected quarter would be compressed by the payable balance then outstanding. On current trajectory, that balance could be material relative to quarterly operating cash flow.</w:t>
      </w:r>
    </w:p>
    <w:p>
      <w:r>
        <w:rPr>
          <w:rFonts w:ascii="Helvetica" w:hAnsi="Helvetica"/>
          <w:color w:val="333333"/>
          <w:sz w:val="20"/>
        </w:rPr>
        <w:t>---</w:t>
      </w:r>
    </w:p>
    <w:p>
      <w:pPr>
        <w:pStyle w:val="Heading3"/>
      </w:pPr>
      <w:r>
        <w:rPr>
          <w:rFonts w:ascii="Helvetica" w:hAnsi="Helvetica"/>
          <w:b/>
          <w:color w:val="6B000C"/>
          <w:sz w:val="24"/>
        </w:rPr>
        <w:t>Risk 7 — Copper Commodity Price and Currency Headwinds</w:t>
      </w:r>
    </w:p>
    <w:p>
      <w:r>
        <w:rPr>
          <w:rFonts w:ascii="Helvetica" w:hAnsi="Helvetica"/>
          <w:b/>
          <w:color w:val="333333"/>
          <w:sz w:val="20"/>
        </w:rPr>
        <w:t>[STANDARD SECTOR RISK — supported by context pack RISK</w:t>
      </w:r>
      <w:r>
        <w:rPr>
          <w:rFonts w:ascii="Helvetica" w:hAnsi="Helvetica"/>
          <w:b/>
          <w:color w:val="333333"/>
          <w:sz w:val="20"/>
          <w:u w:val="single"/>
        </w:rPr>
        <w:t>COPPER</w:t>
      </w:r>
      <w:r>
        <w:rPr>
          <w:rFonts w:ascii="Helvetica" w:hAnsi="Helvetica"/>
          <w:b/>
          <w:color w:val="333333"/>
          <w:sz w:val="20"/>
        </w:rPr>
        <w:t>PRICE</w:t>
      </w:r>
      <w:r>
        <w:rPr>
          <w:rFonts w:ascii="Helvetica" w:hAnsi="Helvetica"/>
          <w:b/>
          <w:color w:val="333333"/>
          <w:sz w:val="20"/>
          <w:u w:val="single"/>
        </w:rPr>
        <w:t>01, RISK</w:t>
      </w:r>
      <w:r>
        <w:rPr>
          <w:rFonts w:ascii="Helvetica" w:hAnsi="Helvetica"/>
          <w:b/>
          <w:color w:val="333333"/>
          <w:sz w:val="20"/>
        </w:rPr>
        <w:t>FX_01]</w:t>
      </w:r>
    </w:p>
    <w:p>
      <w:r>
        <w:rPr>
          <w:rFonts w:ascii="Helvetica" w:hAnsi="Helvetica"/>
          <w:color w:val="333333"/>
          <w:sz w:val="20"/>
        </w:rPr>
        <w:t>SCCO's financials are highly leveraged to the copper price. Copper constitutes the large majority of total revenues (74.8% of FY2025 net sales of $13,420.0M). The Company conducts limited hedging of metals prices, so price declines flow through to earnings with minimal cushion. A copper price decline of $0.10/lb impacts revenues by approximately $203.6 million on an annualized basis at current production volumes.</w:t>
      </w:r>
    </w:p>
    <w:p>
      <w:r>
        <w:rPr>
          <w:rFonts w:ascii="Helvetica" w:hAnsi="Helvetica"/>
          <w:color w:val="333333"/>
          <w:sz w:val="20"/>
        </w:rPr>
        <w:t>Currency exposure adds a further dimension: a significant portion of SCCO's operating costs is denominated in Peruvian soles and Mexican pesos. Both currencies appreciated against the U.S. dollar in FY2025, increasing the dollar-equivalent cost base. Any further local currency appreciation — or a decline in copper prices that reduces U.S.-dollar revenues while local-currency costs remain sticky — compresses margins from both sides simultaneously. The tariff environment adds further uncertainty: U.S. semi-finished copper tariffs announced in August 2025, followed by a Supreme Court ruling limiting tariff authority and then a global tariff response, have created significant market volatility that was not fully resolved as of the filing date.</w:t>
      </w:r>
    </w:p>
    <w:p>
      <w:r>
        <w:rPr>
          <w:rFonts w:ascii="Helvetica" w:hAnsi="Helvetica"/>
          <w:b/>
          <w:color w:val="333333"/>
          <w:sz w:val="20"/>
        </w:rPr>
        <w:t>Probability:</w:t>
      </w:r>
      <w:r>
        <w:rPr>
          <w:rFonts w:ascii="Helvetica" w:hAnsi="Helvetica"/>
          <w:color w:val="333333"/>
          <w:sz w:val="20"/>
        </w:rPr>
        <w:t xml:space="preserve"> Medium (copper price volatility is structural; tariff risk is elevated near-term) | </w:t>
      </w:r>
      <w:r>
        <w:rPr>
          <w:rFonts w:ascii="Helvetica" w:hAnsi="Helvetica"/>
          <w:b/>
          <w:color w:val="333333"/>
          <w:sz w:val="20"/>
        </w:rPr>
        <w:t>Timeframe:</w:t>
      </w:r>
      <w:r>
        <w:rPr>
          <w:rFonts w:ascii="Helvetica" w:hAnsi="Helvetica"/>
          <w:color w:val="333333"/>
          <w:sz w:val="20"/>
        </w:rPr>
        <w:t xml:space="preserve"> Immediate / 1–2 years | </w:t>
      </w:r>
      <w:r>
        <w:rPr>
          <w:rFonts w:ascii="Helvetica" w:hAnsi="Helvetica"/>
          <w:b/>
          <w:color w:val="333333"/>
          <w:sz w:val="20"/>
        </w:rPr>
        <w:t>Quantified potential impact:</w:t>
      </w:r>
      <w:r>
        <w:rPr>
          <w:rFonts w:ascii="Helvetica" w:hAnsi="Helvetica"/>
          <w:color w:val="333333"/>
          <w:sz w:val="20"/>
        </w:rPr>
        <w:t xml:space="preserve"> Management's own disclosure notes that the FY2025 provisional pricing adjustment was a 197.8 million favorable swing versus the prior year. This provisionally priced open position (237.0 million pounds of copper at $5.65/lb to settle through June 2026) is a direct mark-to-market risk in Q1–Q2 2026 if copper prices fall below the year-end provisional rate.</w:t>
      </w:r>
    </w:p>
    <w:p>
      <w:r>
        <w:rPr>
          <w:rFonts w:ascii="Helvetica" w:hAnsi="Helvetica"/>
          <w:color w:val="333333"/>
          <w:sz w:val="20"/>
        </w:rPr>
        <w:t>---</w:t>
      </w:r>
    </w:p>
    <w:p>
      <w:pPr>
        <w:pStyle w:val="Heading3"/>
      </w:pPr>
      <w:r>
        <w:rPr>
          <w:rFonts w:ascii="Helvetica" w:hAnsi="Helvetica"/>
          <w:b/>
          <w:color w:val="6B000C"/>
          <w:sz w:val="24"/>
        </w:rPr>
        <w:t>Risk 8 — Peru Political Instability and Tia Maria Construction Execution Risk</w:t>
      </w:r>
    </w:p>
    <w:p>
      <w:r>
        <w:rPr>
          <w:rFonts w:ascii="Helvetica" w:hAnsi="Helvetica"/>
          <w:b/>
          <w:color w:val="333333"/>
          <w:sz w:val="20"/>
        </w:rPr>
        <w:t>[YELLOW — F013; supported by context pack RISK</w:t>
      </w:r>
      <w:r>
        <w:rPr>
          <w:rFonts w:ascii="Helvetica" w:hAnsi="Helvetica"/>
          <w:b/>
          <w:color w:val="333333"/>
          <w:sz w:val="20"/>
          <w:u w:val="single"/>
        </w:rPr>
        <w:t>PERU</w:t>
      </w:r>
      <w:r>
        <w:rPr>
          <w:rFonts w:ascii="Helvetica" w:hAnsi="Helvetica"/>
          <w:b/>
          <w:color w:val="333333"/>
          <w:sz w:val="20"/>
        </w:rPr>
        <w:t>POLITICAL</w:t>
      </w:r>
      <w:r>
        <w:rPr>
          <w:rFonts w:ascii="Helvetica" w:hAnsi="Helvetica"/>
          <w:b/>
          <w:color w:val="333333"/>
          <w:sz w:val="20"/>
          <w:u w:val="single"/>
        </w:rPr>
        <w:t>01, RISK</w:t>
      </w:r>
      <w:r>
        <w:rPr>
          <w:rFonts w:ascii="Helvetica" w:hAnsi="Helvetica"/>
          <w:b/>
          <w:color w:val="333333"/>
          <w:sz w:val="20"/>
        </w:rPr>
        <w:t>COMMUNITY</w:t>
      </w:r>
      <w:r>
        <w:rPr>
          <w:rFonts w:ascii="Helvetica" w:hAnsi="Helvetica"/>
          <w:b/>
          <w:color w:val="333333"/>
          <w:sz w:val="20"/>
          <w:u w:val="single"/>
        </w:rPr>
        <w:t>01, LEGAL</w:t>
      </w:r>
      <w:r>
        <w:rPr>
          <w:rFonts w:ascii="Helvetica" w:hAnsi="Helvetica"/>
          <w:b/>
          <w:color w:val="333333"/>
          <w:sz w:val="20"/>
        </w:rPr>
        <w:t>TIA</w:t>
      </w:r>
      <w:r>
        <w:rPr>
          <w:rFonts w:ascii="Helvetica" w:hAnsi="Helvetica"/>
          <w:b/>
          <w:color w:val="333333"/>
          <w:sz w:val="20"/>
          <w:u w:val="single"/>
        </w:rPr>
        <w:t>MARIA</w:t>
      </w:r>
      <w:r>
        <w:rPr>
          <w:rFonts w:ascii="Helvetica" w:hAnsi="Helvetica"/>
          <w:b/>
          <w:color w:val="333333"/>
          <w:sz w:val="20"/>
        </w:rPr>
        <w:t>01]</w:t>
      </w:r>
    </w:p>
    <w:p>
      <w:r>
        <w:rPr>
          <w:rFonts w:ascii="Helvetica" w:hAnsi="Helvetica"/>
          <w:color w:val="333333"/>
          <w:sz w:val="20"/>
        </w:rPr>
        <w:t>Peru has seen six presidential changes in six years. A president was removed by Congress on October 10, 2025. His replacement was impeached by February 2026. General elections are scheduled for April 2026. SCCO's Peruvian segment generates approximately 55.0% of consolidated net sales and a disproportionate share of operating income. The Tia Maria project — SCCO's most significant growth asset, budgeted at 1,805 million, currently in early construction — is located in the Arequipa region of Peru.</w:t>
      </w:r>
    </w:p>
    <w:p>
      <w:r>
        <w:rPr>
          <w:rFonts w:ascii="Helvetica" w:hAnsi="Helvetica"/>
          <w:color w:val="333333"/>
          <w:sz w:val="20"/>
        </w:rPr>
        <w:t>The legal risk on Tia Maria is also active: seven separate lawsuits challenging the Environmental Impact Assessment, construction permit, and project authorization remain pending in Peruvian courts. The Supreme Court ratified the EIA's legality in 2022, and a January 2026 lower court ruling went in SCCO's favor in one case — but six additional cases continue. Any adverse ruling in a higher court could create permitting complications during active construction.</w:t>
      </w:r>
    </w:p>
    <w:p>
      <w:r>
        <w:rPr>
          <w:rFonts w:ascii="Helvetica" w:hAnsi="Helvetica"/>
          <w:color w:val="333333"/>
          <w:sz w:val="20"/>
        </w:rPr>
        <w:t>Community relations are a structural constraint on all Peruvian projects. The 2022 Cuajone stoppage — caused by community protests that blocked water access to the mine — demonstrated that even operating assets are not immune to production disruption. Any successor Peruvian government that takes a harder line on private mining investment could revisit Tia Maria permit conditions or impose incremental royalty and tax burdens that compress project economics.</w:t>
      </w:r>
    </w:p>
    <w:p>
      <w:r>
        <w:rPr>
          <w:rFonts w:ascii="Helvetica" w:hAnsi="Helvetica"/>
          <w:b/>
          <w:color w:val="333333"/>
          <w:sz w:val="20"/>
        </w:rPr>
        <w:t>Probability:</w:t>
      </w:r>
      <w:r>
        <w:rPr>
          <w:rFonts w:ascii="Helvetica" w:hAnsi="Helvetica"/>
          <w:color w:val="333333"/>
          <w:sz w:val="20"/>
        </w:rPr>
        <w:t xml:space="preserve"> Medium (Tia Maria construction is active; legal and political risks are real but currently manageable) | </w:t>
      </w:r>
      <w:r>
        <w:rPr>
          <w:rFonts w:ascii="Helvetica" w:hAnsi="Helvetica"/>
          <w:b/>
          <w:color w:val="333333"/>
          <w:sz w:val="20"/>
        </w:rPr>
        <w:t>Timeframe:</w:t>
      </w:r>
      <w:r>
        <w:rPr>
          <w:rFonts w:ascii="Helvetica" w:hAnsi="Helvetica"/>
          <w:color w:val="333333"/>
          <w:sz w:val="20"/>
        </w:rPr>
        <w:t xml:space="preserve"> 1–3 years (through Tia Maria ramp-up) | </w:t>
      </w:r>
      <w:r>
        <w:rPr>
          <w:rFonts w:ascii="Helvetica" w:hAnsi="Helvetica"/>
          <w:b/>
          <w:color w:val="333333"/>
          <w:sz w:val="20"/>
        </w:rPr>
        <w:t>Quantified potential impact:</w:t>
      </w:r>
      <w:r>
        <w:rPr>
          <w:rFonts w:ascii="Helvetica" w:hAnsi="Helvetica"/>
          <w:color w:val="333333"/>
          <w:sz w:val="20"/>
        </w:rPr>
        <w:t xml:space="preserve"> Tia Maria is budgeted at 1,805 million with expected annual copper cathode production of 120 thousand tonnes. A two-year construction delay would defer this production contribution and the capital would sit as work-in-progress earning no return. A full cancellation would require a write-down of cumulative sunk costs.</w:t>
      </w:r>
    </w:p>
    <w:p>
      <w:r>
        <w:rPr>
          <w:rFonts w:ascii="Helvetica" w:hAnsi="Helvetica"/>
          <w:color w:val="333333"/>
          <w:sz w:val="20"/>
        </w:rPr>
        <w:t>---</w:t>
      </w:r>
    </w:p>
    <w:p>
      <w:pPr>
        <w:pStyle w:val="Heading2"/>
      </w:pPr>
      <w:r>
        <w:rPr>
          <w:rFonts w:ascii="Helvetica" w:hAnsi="Helvetica"/>
          <w:b/>
          <w:color w:val="6B000C"/>
          <w:sz w:val="32"/>
        </w:rPr>
        <w:t>2.2 Upside Catalysts</w:t>
      </w:r>
    </w:p>
    <w:p>
      <w:r>
        <w:rPr>
          <w:rFonts w:ascii="Helvetica" w:hAnsi="Helvetica"/>
          <w:color w:val="333333"/>
          <w:sz w:val="20"/>
        </w:rPr>
        <w:t>SCCO's catalysts are concentrated in one large binary event (Tia Maria completion), one structural demand tailwind (electrification), and the operational leverage inherent in a very low-cost producer as copper prices rise. The risks in this section are more numerous and more structurally embedded than the catalysts, which is an honest characterization of the asymmetry: the business generates exceptional cash flows when copper is strong, but governance risks and political uncertainty create a permanent ceiling on the premium that rational investors can assign to the quality of those cash flows.</w:t>
      </w:r>
    </w:p>
    <w:p>
      <w:r>
        <w:rPr>
          <w:rFonts w:ascii="Helvetica" w:hAnsi="Helvetica"/>
          <w:color w:val="333333"/>
          <w:sz w:val="20"/>
        </w:rPr>
        <w:t>---</w:t>
      </w:r>
    </w:p>
    <w:p>
      <w:pPr>
        <w:pStyle w:val="Heading3"/>
      </w:pPr>
      <w:r>
        <w:rPr>
          <w:rFonts w:ascii="Helvetica" w:hAnsi="Helvetica"/>
          <w:b/>
          <w:color w:val="6B000C"/>
          <w:sz w:val="24"/>
        </w:rPr>
        <w:t>Catalyst 1 — Tia Maria Copper Cathode Production Ramp: First Material Volume Addition in a Decade</w:t>
      </w:r>
    </w:p>
    <w:p>
      <w:r>
        <w:rPr>
          <w:rFonts w:ascii="Helvetica" w:hAnsi="Helvetica"/>
          <w:color w:val="333333"/>
          <w:sz w:val="20"/>
        </w:rPr>
        <w:t>Tia Maria is the most significant catalyst available to SCCO. The project received its construction permit in July 2019 after years of community opposition and legal challenge. Construction commenced in earnest during FY2025: earthmoving at La Tapada was initiated, access roads and platforms were completed, electrical substation earthworks were finished, and foundation works were underway at year-end. The project uses SX-EW technology to produce copper cathodes — a simpler, lower-capex production method than concentrator-based mining — and is expected to produce 120 thousand tonnes of copper cathodes per year at steady state.</w:t>
      </w:r>
    </w:p>
    <w:p>
      <w:r>
        <w:rPr>
          <w:rFonts w:ascii="Helvetica" w:hAnsi="Helvetica"/>
          <w:color w:val="333333"/>
          <w:sz w:val="20"/>
        </w:rPr>
        <w:t>If construction proceeds on schedule and without legal or community disruption, Tia Maria would represent the largest single production increment SCCO has added in years. At current copper prices, that volume would generate substantial incremental EBITDA. The fact that construction is now physically underway — earthmovers are on site, a transmission line is being built — is a meaningful de-risking event relative to the years when Tia Maria existed only as a permit and a plan.</w:t>
      </w:r>
    </w:p>
    <w:p>
      <w:r>
        <w:rPr>
          <w:rFonts w:ascii="Helvetica" w:hAnsi="Helvetica"/>
          <w:b/>
          <w:color w:val="333333"/>
          <w:sz w:val="20"/>
        </w:rPr>
        <w:t>Probability:</w:t>
      </w:r>
      <w:r>
        <w:rPr>
          <w:rFonts w:ascii="Helvetica" w:hAnsi="Helvetica"/>
          <w:color w:val="333333"/>
          <w:sz w:val="20"/>
        </w:rPr>
        <w:t xml:space="preserve"> Medium (construction is underway but legal and community risks remain active) | </w:t>
      </w:r>
      <w:r>
        <w:rPr>
          <w:rFonts w:ascii="Helvetica" w:hAnsi="Helvetica"/>
          <w:b/>
          <w:color w:val="333333"/>
          <w:sz w:val="20"/>
        </w:rPr>
        <w:t>Timeframe:</w:t>
      </w:r>
      <w:r>
        <w:rPr>
          <w:rFonts w:ascii="Helvetica" w:hAnsi="Helvetica"/>
          <w:color w:val="333333"/>
          <w:sz w:val="20"/>
        </w:rPr>
        <w:t xml:space="preserve"> 2–4 years (production ramp estimated to begin after construction completion) | </w:t>
      </w:r>
      <w:r>
        <w:rPr>
          <w:rFonts w:ascii="Helvetica" w:hAnsi="Helvetica"/>
          <w:b/>
          <w:color w:val="333333"/>
          <w:sz w:val="20"/>
        </w:rPr>
        <w:t>Monitoring trigger:</w:t>
      </w:r>
      <w:r>
        <w:rPr>
          <w:rFonts w:ascii="Helvetica" w:hAnsi="Helvetica"/>
          <w:color w:val="333333"/>
          <w:sz w:val="20"/>
        </w:rPr>
        <w:t xml:space="preserve"> Quarterly construction progress disclosures; resolution of the seven pending lawsuits; absence of community disruption to construction activities in Arequipa.</w:t>
      </w:r>
    </w:p>
    <w:p>
      <w:r>
        <w:rPr>
          <w:rFonts w:ascii="Helvetica" w:hAnsi="Helvetica"/>
          <w:color w:val="333333"/>
          <w:sz w:val="20"/>
        </w:rPr>
        <w:t>---</w:t>
      </w:r>
    </w:p>
    <w:p>
      <w:pPr>
        <w:pStyle w:val="Heading3"/>
      </w:pPr>
      <w:r>
        <w:rPr>
          <w:rFonts w:ascii="Helvetica" w:hAnsi="Helvetica"/>
          <w:b/>
          <w:color w:val="6B000C"/>
          <w:sz w:val="24"/>
        </w:rPr>
        <w:t>Catalyst 2 — Structural Copper Demand from Energy Transition and Electrification</w:t>
      </w:r>
    </w:p>
    <w:p>
      <w:r>
        <w:rPr>
          <w:rFonts w:ascii="Helvetica" w:hAnsi="Helvetica"/>
          <w:color w:val="333333"/>
          <w:sz w:val="20"/>
        </w:rPr>
        <w:t>The secular demand case for copper — driven by electric vehicles, grid expansion, renewable energy infrastructure, and industrial electrification — is the strongest it has been in decades. SCCO, which management believes holds the largest copper reserves in the world, is structurally positioned to benefit from any sustained period of demand-driven copper price elevation. Management expresses confidence in the structural demand outlook in its FY2025 MD&amp;A, citing electrification as the primary long-term driver, while acknowledging near-term uncertainty from tariff-driven market volatility.</w:t>
      </w:r>
    </w:p>
    <w:p>
      <w:r>
        <w:rPr>
          <w:rFonts w:ascii="Helvetica" w:hAnsi="Helvetica"/>
          <w:color w:val="333333"/>
          <w:sz w:val="20"/>
        </w:rPr>
        <w:t>This catalyst does not require SCCO to do anything — it is a macro tailwind. It becomes financially meaningful when it sustains copper prices at or above current levels, because at $4.51/lb (FY2025 average realized price), SCCO generates 7,870.1M million of EBITDA. Every $0.10/lb of sustained copper price increase translates to approximately $203.6 million million of incremental annualized revenue at current production volumes.</w:t>
      </w:r>
    </w:p>
    <w:p>
      <w:r>
        <w:rPr>
          <w:rFonts w:ascii="Helvetica" w:hAnsi="Helvetica"/>
          <w:b/>
          <w:color w:val="333333"/>
          <w:sz w:val="20"/>
        </w:rPr>
        <w:t>Probability:</w:t>
      </w:r>
      <w:r>
        <w:rPr>
          <w:rFonts w:ascii="Helvetica" w:hAnsi="Helvetica"/>
          <w:color w:val="333333"/>
          <w:sz w:val="20"/>
        </w:rPr>
        <w:t xml:space="preserve"> High (structural demand thesis) | </w:t>
      </w:r>
      <w:r>
        <w:rPr>
          <w:rFonts w:ascii="Helvetica" w:hAnsi="Helvetica"/>
          <w:b/>
          <w:color w:val="333333"/>
          <w:sz w:val="20"/>
        </w:rPr>
        <w:t>Timeframe:</w:t>
      </w:r>
      <w:r>
        <w:rPr>
          <w:rFonts w:ascii="Helvetica" w:hAnsi="Helvetica"/>
          <w:color w:val="333333"/>
          <w:sz w:val="20"/>
        </w:rPr>
        <w:t xml:space="preserve"> 3–10 years | </w:t>
      </w:r>
      <w:r>
        <w:rPr>
          <w:rFonts w:ascii="Helvetica" w:hAnsi="Helvetica"/>
          <w:b/>
          <w:color w:val="333333"/>
          <w:sz w:val="20"/>
        </w:rPr>
        <w:t>Monitoring trigger:</w:t>
      </w:r>
      <w:r>
        <w:rPr>
          <w:rFonts w:ascii="Helvetica" w:hAnsi="Helvetica"/>
          <w:color w:val="333333"/>
          <w:sz w:val="20"/>
        </w:rPr>
        <w:t xml:space="preserve"> Global EV penetration rates; grid infrastructure spending commitments in the U.S., Europe, and China; LME copper inventory levels as a leading indicator of near-term supply/demand balance.</w:t>
      </w:r>
    </w:p>
    <w:p>
      <w:r>
        <w:rPr>
          <w:rFonts w:ascii="Helvetica" w:hAnsi="Helvetica"/>
          <w:color w:val="333333"/>
          <w:sz w:val="20"/>
        </w:rPr>
        <w:t>---</w:t>
      </w:r>
    </w:p>
    <w:p>
      <w:pPr>
        <w:pStyle w:val="Heading3"/>
      </w:pPr>
      <w:r>
        <w:rPr>
          <w:rFonts w:ascii="Helvetica" w:hAnsi="Helvetica"/>
          <w:b/>
          <w:color w:val="6B000C"/>
          <w:sz w:val="24"/>
        </w:rPr>
        <w:t>Catalyst 3 — By-Product Revenue Diversification: Molybdenum, Zinc, and Silver as Structural Cost Credits</w:t>
      </w:r>
    </w:p>
    <w:p>
      <w:r>
        <w:rPr>
          <w:rFonts w:ascii="Helvetica" w:hAnsi="Helvetica"/>
          <w:color w:val="333333"/>
          <w:sz w:val="20"/>
        </w:rPr>
        <w:t>SCCO's FY2025 cost reduction story — the non-GAAP net cash cost per pound declined materially versus prior periods — was driven primarily by by-product credits from molybdenum, zinc, and silver. Zinc production increased significantly in FY2025, driven by the ramp-up of the Buenavista zinc concentrator. Silver production also increased significantly. These by-product streams now represent a meaningful and growing portion of total revenue.</w:t>
      </w:r>
    </w:p>
    <w:p>
      <w:r>
        <w:rPr>
          <w:rFonts w:ascii="Helvetica" w:hAnsi="Helvetica"/>
          <w:color w:val="333333"/>
          <w:sz w:val="20"/>
        </w:rPr>
        <w:t>The significance for investors is twofold. First, strong by-product pricing reduces the reported net cash cost per pound, making SCCO's competitive positioning look stronger relative to peers whose cost structures are more purely copper-dependent. Second, if by-product prices remain elevated (as they have for molybdenum and zinc in recent years), the effective break-even copper price at which SCCO is profitable is lower than it appears from a standalone copper analysis.</w:t>
      </w:r>
    </w:p>
    <w:p>
      <w:r>
        <w:rPr>
          <w:rFonts w:ascii="Helvetica" w:hAnsi="Helvetica"/>
          <w:b/>
          <w:color w:val="333333"/>
          <w:sz w:val="20"/>
        </w:rPr>
        <w:t>Probability:</w:t>
      </w:r>
      <w:r>
        <w:rPr>
          <w:rFonts w:ascii="Helvetica" w:hAnsi="Helvetica"/>
          <w:color w:val="333333"/>
          <w:sz w:val="20"/>
        </w:rPr>
        <w:t xml:space="preserve"> High (Buenavista zinc concentrator is now operational and zinc production is growing) | </w:t>
      </w:r>
      <w:r>
        <w:rPr>
          <w:rFonts w:ascii="Helvetica" w:hAnsi="Helvetica"/>
          <w:b/>
          <w:color w:val="333333"/>
          <w:sz w:val="20"/>
        </w:rPr>
        <w:t>Timeframe:</w:t>
      </w:r>
      <w:r>
        <w:rPr>
          <w:rFonts w:ascii="Helvetica" w:hAnsi="Helvetica"/>
          <w:color w:val="333333"/>
          <w:sz w:val="20"/>
        </w:rPr>
        <w:t xml:space="preserve"> Immediate / ongoing | </w:t>
      </w:r>
      <w:r>
        <w:rPr>
          <w:rFonts w:ascii="Helvetica" w:hAnsi="Helvetica"/>
          <w:b/>
          <w:color w:val="333333"/>
          <w:sz w:val="20"/>
        </w:rPr>
        <w:t>Monitoring trigger:</w:t>
      </w:r>
      <w:r>
        <w:rPr>
          <w:rFonts w:ascii="Helvetica" w:hAnsi="Helvetica"/>
          <w:color w:val="333333"/>
          <w:sz w:val="20"/>
        </w:rPr>
        <w:t xml:space="preserve"> Quarterly by-product production volumes; LME zinc and silver prices; molybdenum spot price; the ratio of by-product revenue to total revenue in the segment disclosures.</w:t>
      </w:r>
    </w:p>
    <w:p>
      <w:r>
        <w:rPr>
          <w:rFonts w:ascii="Helvetica" w:hAnsi="Helvetica"/>
          <w:color w:val="333333"/>
          <w:sz w:val="20"/>
        </w:rPr>
        <w:t>---</w:t>
      </w:r>
    </w:p>
    <w:p>
      <w:pPr>
        <w:pStyle w:val="Heading3"/>
      </w:pPr>
      <w:r>
        <w:rPr>
          <w:rFonts w:ascii="Helvetica" w:hAnsi="Helvetica"/>
          <w:b/>
          <w:color w:val="6B000C"/>
          <w:sz w:val="24"/>
        </w:rPr>
        <w:t>Catalyst 4 — Balance Sheet Strength and Capital Return Capacity</w:t>
      </w:r>
    </w:p>
    <w:p>
      <w:r>
        <w:rPr>
          <w:rFonts w:ascii="Helvetica" w:hAnsi="Helvetica"/>
          <w:color w:val="333333"/>
          <w:sz w:val="20"/>
        </w:rPr>
        <w:t>SCCO carries no near-term debt maturity pressure. After repaying $500 million of 3.875% notes in April 2025 and issuing $1,000 million of new Minera Mexico 5.250% notes in February 2025, the next debt maturity is the Yankee bonds due 2028 — a de minimis amount relative to SCCO's cash generation. All remaining debt matures in 2032 or later. The company is investment grade (Baa1/BBB+) and in compliance with all covenants. The Mexican defined benefit pension plan is in surplus.</w:t>
      </w:r>
    </w:p>
    <w:p>
      <w:r>
        <w:rPr>
          <w:rFonts w:ascii="Helvetica" w:hAnsi="Helvetica"/>
          <w:color w:val="333333"/>
          <w:sz w:val="20"/>
        </w:rPr>
        <w:t>This structural financial strength provides SCCO with the capacity to sustain capital returns — both cash dividends and the stock dividend program initiated in Q2 2024 — even through moderate copper price cycles. Management has stated it expects to fund all cash requirements from internally generated funds. The balance sheet is not a source of risk for this company; it is a source of optionality.</w:t>
      </w:r>
    </w:p>
    <w:p>
      <w:r>
        <w:rPr>
          <w:rFonts w:ascii="Helvetica" w:hAnsi="Helvetica"/>
          <w:b/>
          <w:color w:val="333333"/>
          <w:sz w:val="20"/>
        </w:rPr>
        <w:t>Probability:</w:t>
      </w:r>
      <w:r>
        <w:rPr>
          <w:rFonts w:ascii="Helvetica" w:hAnsi="Helvetica"/>
          <w:color w:val="333333"/>
          <w:sz w:val="20"/>
        </w:rPr>
        <w:t xml:space="preserve"> High (financial structure is in place now) | </w:t>
      </w:r>
      <w:r>
        <w:rPr>
          <w:rFonts w:ascii="Helvetica" w:hAnsi="Helvetica"/>
          <w:b/>
          <w:color w:val="333333"/>
          <w:sz w:val="20"/>
        </w:rPr>
        <w:t>Timeframe:</w:t>
      </w:r>
      <w:r>
        <w:rPr>
          <w:rFonts w:ascii="Helvetica" w:hAnsi="Helvetica"/>
          <w:color w:val="333333"/>
          <w:sz w:val="20"/>
        </w:rPr>
        <w:t xml:space="preserve"> Immediate / ongoing | </w:t>
      </w:r>
      <w:r>
        <w:rPr>
          <w:rFonts w:ascii="Helvetica" w:hAnsi="Helvetica"/>
          <w:b/>
          <w:color w:val="333333"/>
          <w:sz w:val="20"/>
        </w:rPr>
        <w:t>Monitoring trigger:</w:t>
      </w:r>
      <w:r>
        <w:rPr>
          <w:rFonts w:ascii="Helvetica" w:hAnsi="Helvetica"/>
          <w:color w:val="333333"/>
          <w:sz w:val="20"/>
        </w:rPr>
        <w:t xml:space="preserve"> Quarterly free cash flow; maintenance of investment-grade credit ratings; dividend declarations by the Board; Yankee bond refinancing activity in 2027–2028.</w:t>
      </w:r>
    </w:p>
    <w:p>
      <w:r>
        <w:rPr>
          <w:rFonts w:ascii="Helvetica" w:hAnsi="Helvetica"/>
          <w:color w:val="333333"/>
          <w:sz w:val="20"/>
        </w:rPr>
        <w:t>---</w:t>
      </w:r>
    </w:p>
    <w:p>
      <w:pPr>
        <w:pStyle w:val="Heading2"/>
      </w:pPr>
      <w:r>
        <w:rPr>
          <w:rFonts w:ascii="Helvetica" w:hAnsi="Helvetica"/>
          <w:b/>
          <w:color w:val="6B000C"/>
          <w:sz w:val="32"/>
        </w:rPr>
        <w:t>2.3 Risk &amp; Catalyst Summary</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r>
              <w:rPr>
                <w:rFonts w:ascii="Helvetica" w:hAnsi="Helvetica"/>
                <w:b/>
                <w:color w:val="FFFFFF"/>
                <w:sz w:val="16"/>
              </w:rPr>
              <w:t>#</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Type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Probability</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Timeframe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Status</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Monitoring Trigger</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Controlling shareholder structural conflict — 88.9% ownership, interlocked officers, fiduciary disclaimer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Permanent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Audit Committee independence; related-party contract renewals; any change in officer dual-roles</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Asarco LLC purchases surge ~15x with no pricing disclosure — CEO dual-role conflict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Ongoing</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Asarco purchase volumes in quarterly filings; analyst Q&amp;A on pricing methodology</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Three energy supply agreements with Grupo México affiliates — no pricing benchmarks disclosed</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Ongoing through 2040</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Related-party energy spend as % of total energy cost; any disclosed benchmark data</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Peruvian labor shares case — active execution order for 8.5M shares, provisionally stayed</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Constitutional court ruling; expert appraisal finalization; CAVALI registry actions</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Leach pad ore stockpile — sole Critical Audit Matter, management-controlled multi-hundred-million-dollar estimate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Multi-year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Annual disclosure of long-term inventory balance; actual vs. assumed recovery rates</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Related-party payables tripled year-over-year — growing Grupo México financial entanglement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Ongoing</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payable balance to related parties as % of total AP</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 price and currency headwinds; U.S. tariff uncertainty; large open provisional position</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 1–2 yr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LME copper forward curve; Q1–Q2 2026 provisional price settlement disclosures</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Peru political instability and Tia Maria legal / community risk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Election outcome April 2026; quarterly construction progress; lawsuit rulings</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Tia Maria production ramp — first major volume addition in years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 years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construction disclosures; lawsuit resolution; no community disruption</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Structural copper demand — energy transition and electrification tailwind</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3–10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Global EV sales; grid capex commitments; LME copper inventory</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By-product diversification — zinc, molybdenum, silver as structural cost credits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by-product volumes and prices; Buenavista zinc concentrator throughput</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Balance sheet strength — no near-term maturity wall, investment grade, pension surplus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free cash flow; credit rating confirmations; debt maturity schedule</w:t>
            </w:r>
          </w:p>
        </w:tc>
      </w:tr>
    </w:tbl>
    <w:p>
      <w:r>
        <w:rPr>
          <w:rFonts w:ascii="Helvetica" w:hAnsi="Helvetica"/>
          <w:color w:val="333333"/>
          <w:sz w:val="20"/>
        </w:rPr>
        <w:t>---</w:t>
      </w:r>
    </w:p>
    <w:p>
      <w:pPr>
        <w:pStyle w:val="Heading2"/>
      </w:pPr>
      <w:r>
        <w:rPr>
          <w:rFonts w:ascii="Helvetica" w:hAnsi="Helvetica"/>
          <w:b/>
          <w:color w:val="6B000C"/>
          <w:sz w:val="32"/>
        </w:rPr>
        <w:t>2.4 Risk Interdependencies</w:t>
      </w:r>
    </w:p>
    <w:p>
      <w:r>
        <w:rPr>
          <w:rFonts w:ascii="Helvetica" w:hAnsi="Helvetica"/>
          <w:color w:val="333333"/>
          <w:sz w:val="20"/>
        </w:rPr>
        <w:t>The risks in this section do not operate in isolation — they reinforce each other in ways that make the cumulative downside materially worse than any single risk considered alone.</w:t>
      </w:r>
    </w:p>
    <w:p>
      <w:r>
        <w:rPr>
          <w:rFonts w:ascii="Helvetica" w:hAnsi="Helvetica"/>
          <w:color w:val="333333"/>
          <w:sz w:val="20"/>
        </w:rPr>
        <w:t>The foundational risk is the governance structure (Risk 1). It is the root cause that makes every other related-party risk (Risks 2, 3, and 6) impossible for minority shareholders to independently assess. Without disclosed pricing benchmarks on Asarco purchases and energy supply agreements, and with the CEO evaluating his own company's pricing, minority shareholders cannot determine whether value is being transferred through commercial terms. The 15-fold surge in Asarco purchases and the near-tripling of related-party payables occurred in the same year — and neither is explained by SCCO's own production volumes, which declined slightly. That coincidence, given the governance structure, is material. If the Asarco price surge reflected above-market pricing, the income statement impact flowed directly into the leach pad inventory calculation (Risk 5): purchased copper inputs that were priced above market and then capitalized as long-term inventory would overstate the asset balance and defer the pricing error from the income statement to a future period. These two risks — related-party pricing and the Critical Audit Matter — are mechanically connected in a way the filing does not acknowledge.</w:t>
      </w:r>
    </w:p>
    <w:p>
      <w:r>
        <w:rPr>
          <w:rFonts w:ascii="Helvetica" w:hAnsi="Helvetica"/>
          <w:color w:val="333333"/>
          <w:sz w:val="20"/>
        </w:rPr>
        <w:t>The Peru political risk (Risk 8) and the Peruvian labor shares litigation (Risk 4) are legally independent but geopolitically correlated: a successor Peruvian government hostile to private mining could create an environment where existing legal claims against SCCO are prosecuted more aggressively, where new claims are encouraged, and where the provisional stays protecting SCCO in cases like the labor shares case are politically less likely to be maintained. Peru generated approximately 55.0% of SCCO's FY2025 net sales and is home to Tia Maria, which represents the single largest source of production growth optionality in the investment thesis. If political conditions in Peru deteriorate materially, the company loses both the growth catalyst and some portion of its current earnings base simultaneously — a compounding event.</w:t>
      </w:r>
    </w:p>
    <w:p>
      <w:r>
        <w:rPr>
          <w:rFonts w:ascii="Helvetica" w:hAnsi="Helvetica"/>
          <w:color w:val="333333"/>
          <w:sz w:val="20"/>
        </w:rPr>
        <w:t>Finally, the commodity price risk (Risk 7) interacts with governance risk (Risk 1) in a specific way: in a period of low copper prices, when SCCO's profitability is compressed, the cash that flows to Grupo México through related-party channels becomes a proportionally larger share of diminished operating cash flows. The risk factors themselves acknowledge that Grupo México could direct SCCO to increase dividends or provide funding to the parent group if the parent group's financial obligations increase. A scenario in which copper prices fall, SCCO's earnings decline, and Grupo México simultaneously increases pressure on SCCO to upstreaming cash to the parent is the tail event that minority shareholders cannot rule out given the disclosed governance structure.</w:t>
      </w:r>
    </w:p>
    <w:p>
      <w:r>
        <w:rPr>
          <w:rFonts w:ascii="Helvetica" w:hAnsi="Helvetica"/>
          <w:color w:val="333333"/>
          <w:sz w:val="20"/>
        </w:rPr>
        <w:t>---</w:t>
      </w:r>
    </w:p>
    <w:p>
      <w:pPr>
        <w:pStyle w:val="Heading2"/>
      </w:pPr>
      <w:r>
        <w:rPr>
          <w:rFonts w:ascii="Helvetica" w:hAnsi="Helvetica"/>
          <w:b/>
          <w:color w:val="6B000C"/>
          <w:sz w:val="32"/>
        </w:rPr>
        <w:t>2.5 ESG &amp; Regulatory Exposure</w:t>
      </w:r>
    </w:p>
    <w:p>
      <w:r>
        <w:rPr>
          <w:rFonts w:ascii="Helvetica" w:hAnsi="Helvetica"/>
          <w:b/>
          <w:color w:val="333333"/>
          <w:sz w:val="20"/>
        </w:rPr>
        <w:t>Environmental:</w:t>
      </w:r>
      <w:r>
        <w:rPr>
          <w:rFonts w:ascii="Helvetica" w:hAnsi="Helvetica"/>
          <w:color w:val="333333"/>
          <w:sz w:val="20"/>
        </w:rPr>
        <w:t xml:space="preserve"> The 2014 Buenavista copper sulfate spill — approximately 40,000 cubic meters discharged into the Sonora River — continues to generate active legal proceedings more than 11 years after the event. As of December 31, 2025, three collective action lawsuits in federal courts, at least 45 individual civil actions in Sonora state courts, and five constitutional (amparo) lawsuits remain pending. More significantly, in October 2023, SEMARNAT filed a new criminal complaint alleging that SCCO's remediation was incomplete — escalating the Sonora River case from civil litigation to criminal exposure for the operating subsidiary. Buenavista is SCCO's largest Mexican mine. Any adverse criminal proceeding that creates operating permit risk at Buenavista would be disproportionately damaging to production. The Company states it "strongly believes" the remediation is complete and the complaint lacks merit — a characterization it has maintained consistently for 11 years while the cases remain pending. No provision has been recorded.</w:t>
      </w:r>
    </w:p>
    <w:p>
      <w:r>
        <w:rPr>
          <w:rFonts w:ascii="Helvetica" w:hAnsi="Helvetica"/>
          <w:color w:val="333333"/>
          <w:sz w:val="20"/>
        </w:rPr>
        <w:t>Mexico's 2023 Mining Law amendments introduced new requirements for mine closure guarantees and remediation plans. SCCO's Asset Retirement Obligation for Mexican operations was revised downward by $106.7 million in FY2025 — the second consecutive year of material downward revision, producing an income statement benefit of $57.9 million in FY2025 and $65.3 million in FY2024. Two consecutive years of downward ARO revisions during a period of tightening Mexican environmental law is a pattern that warrants scrutiny. The revisions are management-controlled estimates. The cumulative two-year income statement benefit from downward ARO revisions at the Mexican operations was $123.2 million.</w:t>
      </w:r>
    </w:p>
    <w:p>
      <w:r>
        <w:rPr>
          <w:rFonts w:ascii="Helvetica" w:hAnsi="Helvetica"/>
          <w:color w:val="333333"/>
          <w:sz w:val="20"/>
        </w:rPr>
        <w:t>Tailings dam management is explicitly disclosed as a material risk. SCCO operates multiple tailings dams across Peru and Mexico and adheres to ICMM standards. A tailings dam failure would carry severe environmental, human, and operational consequences. Water access is a specific vulnerability: the 2022 Cuajone production stoppage was caused by community protesters blocking water supply to the mine — demonstrating that operational risk in arid regions is not limited to technical failure but also social disruption.</w:t>
      </w:r>
    </w:p>
    <w:p>
      <w:r>
        <w:rPr>
          <w:rFonts w:ascii="Helvetica" w:hAnsi="Helvetica"/>
          <w:b/>
          <w:color w:val="333333"/>
          <w:sz w:val="20"/>
        </w:rPr>
        <w:t>Social:</w:t>
      </w:r>
      <w:r>
        <w:rPr>
          <w:rFonts w:ascii="Helvetica" w:hAnsi="Helvetica"/>
          <w:color w:val="333333"/>
          <w:sz w:val="20"/>
        </w:rPr>
        <w:t xml:space="preserve"> Labor stability is mixed. Peruvian operations are covered by collective bargaining agreements with six unions; the current agreements prevent work stoppages through at least 2027, which is a genuine near-term positive. The Mexican picture is less clean: the Taxco mine has been on strike since July 2007 — 18 years — and the Mexican Supreme Court case has been pending since 2015 with no resolution reported. The San Martin mine's labor dispute also remains unresolved, with a pending union protective action and a U.S.-Mexico T-MEC rapid response ruling issued in favor of the Mexican government in April 2024. SCCO's pension plan for Mexican union workers holds 30% of its assets in Grupo México common shares — an allocation that increased from 25% in FY2024 to 30% in FY2025. In a scenario where Grupo México faces financial stress, SCCO's operational difficulties and pension asset impairment would be positively correlated — exactly the wrong correlation for a pension fund.</w:t>
      </w:r>
    </w:p>
    <w:p>
      <w:r>
        <w:rPr>
          <w:rFonts w:ascii="Helvetica" w:hAnsi="Helvetica"/>
          <w:color w:val="333333"/>
          <w:sz w:val="20"/>
        </w:rPr>
        <w:t>Community relations at Tia Maria remain active risk. Seven lawsuits challenging the project are pending. New community representatives were appointed in January 2026, which management characterizes as progress, but the track record of Tia Maria community opposition — which delayed the project for years before the 2019 permit was issued — warrants caution. The Los Chancas project in Peru is currently blocked by illegal miners on-site, a situation the filing discloses without characterizing as material. The Michiquillay concession extension was purchased for 21.0 million in April 2025, explicitly because the development challenges precluded meeting the original timeline — language that understates the difficulty of advancing large Peruvian projects in the current environment.</w:t>
      </w:r>
    </w:p>
    <w:p>
      <w:r>
        <w:rPr>
          <w:rFonts w:ascii="Helvetica" w:hAnsi="Helvetica"/>
          <w:b/>
          <w:color w:val="333333"/>
          <w:sz w:val="20"/>
        </w:rPr>
        <w:t>Governance:</w:t>
      </w:r>
      <w:r>
        <w:rPr>
          <w:rFonts w:ascii="Helvetica" w:hAnsi="Helvetica"/>
          <w:color w:val="333333"/>
          <w:sz w:val="20"/>
        </w:rPr>
        <w:t xml:space="preserve"> The governance exposures are detailed in Risks 1–3 and 6 above and represent the most material ESG dimension of this investment. SCCO has received genuine external ESG recognition — top-three mining company in the S&amp;P Global Corporate Sustainability Assessment for FY2025, sixth consecutive year in the Dow Jones MILA Pacific Alliance index, first inclusion in the Dow Jones Emerging Markets index, perfect scores in Climate Governance and TCFD categories, CDP "B" rating. These are not trivial achievements and reflect genuine operational standards across safety, environmental management, and community relations. The tension in the governance picture is that these operational and environmental ESG achievements coexist with structural related-party governance that gives minority shareholders no independent mechanism for verifying that commercial terms are fair. ESG rating agencies do not consistently capture this structural conflict — it is disclosed in the risk factors and footnotes, not in the sustainability report language that ratings methodologies typically read.</w:t>
      </w:r>
    </w:p>
    <w:p>
      <w:r>
        <w:rPr>
          <w:rFonts w:ascii="Helvetica" w:hAnsi="Helvetica"/>
          <w:b/>
          <w:color w:val="333333"/>
          <w:sz w:val="20"/>
        </w:rPr>
        <w:t>Regulatory:</w:t>
      </w:r>
      <w:r>
        <w:rPr>
          <w:rFonts w:ascii="Helvetica" w:hAnsi="Helvetica"/>
          <w:color w:val="333333"/>
          <w:sz w:val="20"/>
        </w:rPr>
        <w:t xml:space="preserve"> SCCO is subject to anti-corruption law in three jurisdictions (U.S. FCPA, Peru, Mexico). The complexity of the related-party network — purchases from Asarco, energy from Grupo México subsidiaries, construction services from Mexico Compañía Constructora, rail and freight from Ferrocarril Mexicano, administrative services from AMMINCO — means that any anti-corruption enforcement action that targeted any part of the Grupo México enterprise could create collateral risk for SCCO through its commercial relationships with those entities. This is not a disclosed risk in the filing but is a rational inference from the structure.</w:t>
      </w:r>
    </w:p>
    <w:p>
      <w:r>
        <w:rPr>
          <w:rFonts w:ascii="Helvetica" w:hAnsi="Helvetica"/>
          <w:color w:val="333333"/>
          <w:sz w:val="20"/>
        </w:rPr>
        <w:t>Peruvian tax authorities are actively auditing SCCO. Management expects cash payments of $13.6 million million to the Peruvian tax authorities within the next twelve months. Accrued Peruvian interest and penalties increased year-over-year in FY2025, signaling an active audit process rather than a settled one.</w:t>
      </w:r>
    </w:p>
    <w:p>
      <w:r>
        <w:rPr>
          <w:rFonts w:ascii="Helvetica" w:hAnsi="Helvetica"/>
          <w:color w:val="333333"/>
          <w:sz w:val="20"/>
        </w:rPr>
        <w:t>---</w:t>
      </w:r>
    </w:p>
    <w:p>
      <w:pPr>
        <w:pStyle w:val="Heading1"/>
      </w:pPr>
      <w:r>
        <w:rPr>
          <w:rFonts w:ascii="Helvetica" w:hAnsi="Helvetica"/>
          <w:b/>
          <w:color w:val="6B000C"/>
          <w:sz w:val="36"/>
        </w:rPr>
        <w:t>Section 3 — Financial Analysis &amp; Historical Performance</w:t>
      </w:r>
    </w:p>
    <w:p>
      <w:r>
        <w:rPr>
          <w:rFonts w:ascii="Helvetica" w:hAnsi="Helvetica"/>
          <w:color w:val="333333"/>
          <w:sz w:val="20"/>
        </w:rPr>
        <w:t>---</w:t>
      </w:r>
    </w:p>
    <w:p>
      <w:r>
        <w:rPr>
          <w:rFonts w:ascii="Helvetica" w:hAnsi="Helvetica"/>
          <w:b/>
          <w:color w:val="333333"/>
          <w:sz w:val="20"/>
        </w:rPr>
        <w:t>Three-Statement Linkage Confirmation</w:t>
      </w:r>
    </w:p>
    <w:p>
      <w:r>
        <w:rPr>
          <w:rFonts w:ascii="Helvetica" w:hAnsi="Helvetica"/>
          <w:color w:val="333333"/>
          <w:sz w:val="20"/>
        </w:rPr>
        <w:t xml:space="preserve">- </w:t>
      </w:r>
      <w:r>
        <w:rPr>
          <w:rFonts w:ascii="Helvetica" w:hAnsi="Helvetica"/>
          <w:b/>
          <w:color w:val="333333"/>
          <w:sz w:val="20"/>
        </w:rPr>
        <w:t>Net Income ties (Income Statement → Cash Flow Statement):</w:t>
      </w:r>
      <w:r>
        <w:rPr>
          <w:rFonts w:ascii="Helvetica" w:hAnsi="Helvetica"/>
          <w:color w:val="333333"/>
          <w:sz w:val="20"/>
        </w:rPr>
        <w:t xml:space="preserve"> Net income of 4,334.9M ($4,334.9M) is the opening line of the cash flow statement's reconciliation from net income to operating cash flow. The tie is confirmed for all five years in the data pack.</w:t>
      </w:r>
    </w:p>
    <w:p>
      <w:r>
        <w:rPr>
          <w:rFonts w:ascii="Helvetica" w:hAnsi="Helvetica"/>
          <w:color w:val="333333"/>
          <w:sz w:val="20"/>
        </w:rPr>
        <w:t xml:space="preserve">- </w:t>
      </w:r>
      <w:r>
        <w:rPr>
          <w:rFonts w:ascii="Helvetica" w:hAnsi="Helvetica"/>
          <w:b/>
          <w:color w:val="333333"/>
          <w:sz w:val="20"/>
        </w:rPr>
        <w:t>Cash ties (Balance Sheet → Cash Flow Statement):</w:t>
      </w:r>
      <w:r>
        <w:rPr>
          <w:rFonts w:ascii="Helvetica" w:hAnsi="Helvetica"/>
          <w:color w:val="333333"/>
          <w:sz w:val="20"/>
        </w:rPr>
        <w:t xml:space="preserve"> The cash and equivalents balance reported on the balance sheet — 3,258.1M ($3,258.1M) at FY2024 and 4,304.6M ($4,304.6M) at FY2025 — reconciles to the net change in cash reported in the cash flow statement. The tie is confirmed.</w:t>
      </w:r>
    </w:p>
    <w:p>
      <w:r>
        <w:rPr>
          <w:rFonts w:ascii="Helvetica" w:hAnsi="Helvetica"/>
          <w:color w:val="333333"/>
          <w:sz w:val="20"/>
        </w:rPr>
        <w:t xml:space="preserve">- </w:t>
      </w:r>
      <w:r>
        <w:rPr>
          <w:rFonts w:ascii="Helvetica" w:hAnsi="Helvetica"/>
          <w:b/>
          <w:color w:val="333333"/>
          <w:sz w:val="20"/>
        </w:rPr>
        <w:t>Retained Earnings reconciliation (Beg RE + NI − Dividends = End RE):</w:t>
      </w:r>
      <w:r>
        <w:rPr>
          <w:rFonts w:ascii="Helvetica" w:hAnsi="Helvetica"/>
          <w:color w:val="333333"/>
          <w:sz w:val="20"/>
        </w:rPr>
        <w:t xml:space="preserve"> The retained earnings balance declines from 6,839.6M ($6,839.6M) at FY2024 to 5,797.2M ($5,797.2M) at FY2025, a reduction of approximately $1,042M. Net income for FY2025 was 4,334.9M ($4,334.9M) and dividends paid were -2,485.1M ($2,485.1M), which would imply a $1,849.8M increase in retained earnings on a pure cash basis. The shortfall versus the observed reduction reflects SCCO's stock dividend program, under which treasury shares were distributed to shareholders — an equity-account mechanism that depletes retained earnings without appearing as a cash outflow. This is consistent with the disclosure in the forensic flags (F014). The reconciliation does not tie on a simple cash basis and investors should be aware that reported retained earnings understate cumulative cash earnings retained in the business.</w:t>
      </w:r>
    </w:p>
    <w:p>
      <w:r>
        <w:rPr>
          <w:rFonts w:ascii="Helvetica" w:hAnsi="Helvetica"/>
          <w:color w:val="333333"/>
          <w:sz w:val="20"/>
        </w:rPr>
        <w:t>---</w:t>
      </w:r>
    </w:p>
    <w:p>
      <w:pPr>
        <w:pStyle w:val="Heading2"/>
      </w:pPr>
      <w:r>
        <w:rPr>
          <w:rFonts w:ascii="Helvetica" w:hAnsi="Helvetica"/>
          <w:b/>
          <w:color w:val="6B000C"/>
          <w:sz w:val="32"/>
        </w:rPr>
        <w:t>3.1A Income Statement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10,934.1M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10,047.9M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9,895.8M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11,433.4M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YoY Growth</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17.4%</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Cost of Goods Sold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3,894.4M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4,649.1M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4,687.7M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4,841.4M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5,359.2M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Gross Profit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7,039.7M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5,398.8M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5,208.1M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6,592.0M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8,060.8M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60.1%</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OpEx excl. COGS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975.0M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963.0M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1,015.8M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1,037.3M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1,059.1M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D&amp;A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806.0M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796.3M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833.6M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845.9M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868.4M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EBITDA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6,871.1M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5,232.1M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5,025.9M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6,400.6M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7,870.1M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58.6%</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Growth</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23.0%</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6,065.1M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4,435.8M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4,192.3M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5,554.7M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7,001.7M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Expense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387.9M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387.1M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376.3M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376.5M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416.7M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Income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5,696.8M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4,247.8M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3,955.8M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5,357.4M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6,784.3M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Tax Expense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2,299.7M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1,609.3M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1,530.6M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1,980.6M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2,449.4M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Effective Tax Rate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36.1%</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Net Income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3,397.1M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2,638.5M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2,425.2M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3,376.8M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4,334.9M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Growth</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116.3%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28.4%</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EPS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$5.24</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EPS Growth</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116.3%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Shares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827</w:t>
            </w:r>
          </w:p>
        </w:tc>
      </w:tr>
    </w:tbl>
    <w:p>
      <w:pPr>
        <w:jc w:val="left"/>
      </w:pPr>
      <w:r>
        <w:rPr>
          <w:rFonts w:ascii="Helvetica" w:hAnsi="Helvetica"/>
          <w:i/>
          <w:color w:val="666666"/>
          <w:sz w:val="18"/>
        </w:rPr>
        <w:t>Source: Southern Copper Corporation Annual Reports on Form 10-K, FY2021–FY2025. All figures extracted from GAAP-reported income statements.*</w:t>
      </w:r>
    </w:p>
    <w:p>
      <w:r>
        <w:rPr>
          <w:rFonts w:ascii="Helvetica" w:hAnsi="Helvetica"/>
          <w:b/>
          <w:color w:val="333333"/>
          <w:sz w:val="20"/>
        </w:rPr>
        <w:t>CAGR Summary</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3Y CAGR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5Y CAGR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10Y CAGR</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15.1%</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19.4%</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EPS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18.9%</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bl>
    <w:p>
      <w:r>
        <w:rPr>
          <w:rFonts w:ascii="Helvetica" w:hAnsi="Helvetica"/>
          <w:color w:val="333333"/>
          <w:sz w:val="20"/>
        </w:rPr>
        <w:t>---</w:t>
      </w:r>
    </w:p>
    <w:p>
      <w:pPr>
        <w:pStyle w:val="Heading2"/>
      </w:pPr>
      <w:r>
        <w:rPr>
          <w:rFonts w:ascii="Helvetica" w:hAnsi="Helvetica"/>
          <w:b/>
          <w:color w:val="6B000C"/>
          <w:sz w:val="32"/>
        </w:rPr>
        <w:t>3.1B Income Statement — Analysis</w:t>
      </w:r>
    </w:p>
    <w:p>
      <w:r>
        <w:rPr>
          <w:rFonts w:ascii="Helvetica" w:hAnsi="Helvetica"/>
          <w:b/>
          <w:color w:val="333333"/>
          <w:sz w:val="20"/>
        </w:rPr>
        <w:t>Revenue story</w:t>
      </w:r>
    </w:p>
    <w:p>
      <w:r>
        <w:rPr>
          <w:rFonts w:ascii="Helvetica" w:hAnsi="Helvetica"/>
          <w:color w:val="333333"/>
          <w:sz w:val="20"/>
        </w:rPr>
        <w:t>SCCO's revenue trajectory over the five-year period FY2021–FY2025 is almost entirely a commodity price story. The company produces copper, molybdenum, silver, and zinc from large-scale, low-cost open-pit and underground operations in Mexico and Peru; volumes are broadly stable because the asset base changes slowly. Revenue therefore moves with the copper price, which is the dominant driver across all periods.</w:t>
      </w:r>
    </w:p>
    <w:p>
      <w:r>
        <w:rPr>
          <w:rFonts w:ascii="Helvetica" w:hAnsi="Helvetica"/>
          <w:color w:val="333333"/>
          <w:sz w:val="20"/>
        </w:rPr>
        <w:t>FY2021 (10,934.1M, +36.9% YoY) benefited from a powerful post-pandemic copper price recovery. FY2022 (10,047.9M, -8.1% YoY) saw a reversal as copper prices retreated from their mid-cycle peak; this was compounded by a modest volume decline. FY2023 (9,895.8M, -1.5% YoY) was the trough, with copper prices under pressure for the full year and Peruvian operations partially impacted by civil unrest. The recovery began in earnest in FY2024 (11,433.4M, +15.5% YoY) as the copper price recovered, and FY2025 delivered record revenue of 13,420.0M (+17.4% YoY) on the back of elevated copper prices, a meaningful favorable provisional pricing adjustment embedded in revenues, and higher by-product volumes. Management specifically cited record net sales as the primary driver of the FY2025 result.</w:t>
      </w:r>
    </w:p>
    <w:p>
      <w:r>
        <w:rPr>
          <w:rFonts w:ascii="Helvetica" w:hAnsi="Helvetica"/>
          <w:color w:val="333333"/>
          <w:sz w:val="20"/>
        </w:rPr>
        <w:t>The three-year revenue CAGR of 10.1% and five-year CAGR of 10.9% are above the long-run ten-year CAGR of 10.3%, reflecting both the tailwind from the current copper price cycle and the modest organic volume growth from expansion projects that have progressively come online. The volume dimension is important for forward modelling: management has guided that FY2026 copper production will be affected by lower ore grades at existing operations, so any deterioration in copper pricing in 2026 would face a double headwind from volume.</w:t>
      </w:r>
    </w:p>
    <w:p>
      <w:r>
        <w:rPr>
          <w:rFonts w:ascii="Helvetica" w:hAnsi="Helvetica"/>
          <w:b/>
          <w:color w:val="333333"/>
          <w:sz w:val="20"/>
        </w:rPr>
        <w:t>⚠ Provisional pricing consideration:</w:t>
      </w:r>
      <w:r>
        <w:rPr>
          <w:rFonts w:ascii="Helvetica" w:hAnsi="Helvetica"/>
          <w:color w:val="333333"/>
          <w:sz w:val="20"/>
        </w:rPr>
        <w:t xml:space="preserve"> Revenue for FY2025 includes a favorable mark-to-market adjustment of approximately $113M on copper concentrate shipments for which the final settlement price is determined by the LME in the months following shipment, extending through June 2026 (F015). This adjustment has already been recognized in FY2025 reported revenue and will reverse — partially or in full — if the copper price declines before the contractual settlement dates. This is a legitimate accounting treatment under ASC 606, but it creates a non-operating sensitivity that inflates the reported FY2025 revenue by a non-trivial amount relative to actual realized volumes.</w:t>
      </w:r>
    </w:p>
    <w:p>
      <w:r>
        <w:rPr>
          <w:rFonts w:ascii="Helvetica" w:hAnsi="Helvetica"/>
          <w:b/>
          <w:color w:val="333333"/>
          <w:sz w:val="20"/>
        </w:rPr>
        <w:t>Margin trajectory</w:t>
      </w:r>
    </w:p>
    <w:p>
      <w:r>
        <w:rPr>
          <w:rFonts w:ascii="Helvetica" w:hAnsi="Helvetica"/>
          <w:color w:val="333333"/>
          <w:sz w:val="20"/>
        </w:rPr>
        <w:t>The EBIT margin trajectory is the most analytically significant feature of the income statement. Gross margin declined from 64.4% in FY2021 to 52.6% in FY2023 as COGS rose +20.4% between FY2021 and FY2022 despite flat-to-declining revenues — reflecting input cost inflation, workers' participation charges, and higher energy costs. The recovery in FY2024 and FY2025 brought gross margins back above 57.7% and 60.1% respectively, driven almost entirely by the increase in copper revenues relative to a cost base that is structurally sticky at low cycle points but grows more slowly than revenues at high price points.</w:t>
      </w:r>
    </w:p>
    <w:p>
      <w:r>
        <w:rPr>
          <w:rFonts w:ascii="Helvetica" w:hAnsi="Helvetica"/>
          <w:color w:val="333333"/>
          <w:sz w:val="20"/>
        </w:rPr>
        <w:t>The EBIT margin of 52.2% in FY2025 is the highest in the company's reported history and reflects two concurrent favorable factors: elevated copper prices amplifying operating leverage on the fixed-cost base, and two consecutive years of downward revisions to asset retirement obligation (ARO) estimates at Mexican operations (F007). The FY2025 ARO revision contributed a direct P&amp;L benefit of approximately $57.9M; a similar benefit occurred in FY2024. In aggregate, these revisions provided roughly $115M of operating income uplift over the two-year period that is unlikely to recur unless site-level reserve estimates continue to decrease. Normalizing for this, the underlying EBIT margin is approximately 50–51% rather than the reported 52.2%.</w:t>
      </w:r>
    </w:p>
    <w:p>
      <w:r>
        <w:rPr>
          <w:rFonts w:ascii="Helvetica" w:hAnsi="Helvetica"/>
          <w:color w:val="333333"/>
          <w:sz w:val="20"/>
        </w:rPr>
        <w:t>Analysts should use a normalized EBIT margin closer to 48% as the through-cycle reference point. The FY2025 reported margin of 52.2% should not be used as the base case for forward DCF modelling without applying a downward normalization for both peak copper pricing and the non-recurring ARO tailwind.</w:t>
      </w:r>
    </w:p>
    <w:p>
      <w:r>
        <w:rPr>
          <w:rFonts w:ascii="Helvetica" w:hAnsi="Helvetica"/>
          <w:b/>
          <w:color w:val="333333"/>
          <w:sz w:val="20"/>
        </w:rPr>
        <w:t>Major Movers</w:t>
      </w:r>
    </w:p>
    <w:p>
      <w:r>
        <w:rPr>
          <w:rFonts w:ascii="Helvetica" w:hAnsi="Helvetica"/>
          <w:color w:val="333333"/>
          <w:sz w:val="20"/>
        </w:rPr>
        <w:t xml:space="preserve">1. </w:t>
      </w:r>
      <w:r>
        <w:rPr>
          <w:rFonts w:ascii="Helvetica" w:hAnsi="Helvetica"/>
          <w:b/>
          <w:color w:val="333333"/>
          <w:sz w:val="20"/>
        </w:rPr>
        <w:t>Copper price (primary driver):</w:t>
      </w:r>
      <w:r>
        <w:rPr>
          <w:rFonts w:ascii="Helvetica" w:hAnsi="Helvetica"/>
          <w:color w:val="333333"/>
          <w:sz w:val="20"/>
        </w:rPr>
        <w:t xml:space="preserve"> The spread between FY2023 EBIT of 4,192.3M ($4,192.3M, 42.4% margin) and FY2025 EBIT of 7,001.7M ($7,001.7M, 52.2% margin) is $2,809.4M — almost entirely attributable to higher realized copper prices. SCCO's cost structure is relatively fixed in the short term, so each incremental dollar of copper revenue flows through to EBIT at an extremely high incremental rate. This is the defining characteristic of the income statement: operating leverage is very high, making the stock highly sensitive to copper price assumptions.</w:t>
      </w:r>
    </w:p>
    <w:p>
      <w:r>
        <w:rPr>
          <w:rFonts w:ascii="Helvetica" w:hAnsi="Helvetica"/>
          <w:color w:val="333333"/>
          <w:sz w:val="20"/>
        </w:rPr>
        <w:t xml:space="preserve">2. </w:t>
      </w:r>
      <w:r>
        <w:rPr>
          <w:rFonts w:ascii="Helvetica" w:hAnsi="Helvetica"/>
          <w:b/>
          <w:color w:val="333333"/>
          <w:sz w:val="20"/>
        </w:rPr>
        <w:t>COGS and cost inflation (negative driver, FY2022–FY2023):</w:t>
      </w:r>
      <w:r>
        <w:rPr>
          <w:rFonts w:ascii="Helvetica" w:hAnsi="Helvetica"/>
          <w:color w:val="333333"/>
          <w:sz w:val="20"/>
        </w:rPr>
        <w:t xml:space="preserve"> COGS increased from 3,894.4M ($3,894.4M) in FY2021 to 4,649.1M ($4,649.1M) in FY2022 and 4,687.7M ($4,687.7M) in FY2023. Management attributed these increases to higher workers' participation charges (a statutory profit-sharing obligation in Mexico and Peru), repair and spare parts costs, unfavorable currency movements (stronger local currencies increasing labor costs in USD terms), and elevated energy costs. These are genuine cash cost increases, not accounting artefacts.</w:t>
      </w:r>
    </w:p>
    <w:p>
      <w:r>
        <w:rPr>
          <w:rFonts w:ascii="Helvetica" w:hAnsi="Helvetica"/>
          <w:color w:val="333333"/>
          <w:sz w:val="20"/>
        </w:rPr>
        <w:t xml:space="preserve">3. </w:t>
      </w:r>
      <w:r>
        <w:rPr>
          <w:rFonts w:ascii="Helvetica" w:hAnsi="Helvetica"/>
          <w:b/>
          <w:color w:val="333333"/>
          <w:sz w:val="20"/>
        </w:rPr>
        <w:t>Asset retirement obligation revisions (positive driver, FY2024–FY2025):</w:t>
      </w:r>
      <w:r>
        <w:rPr>
          <w:rFonts w:ascii="Helvetica" w:hAnsi="Helvetica"/>
          <w:color w:val="333333"/>
          <w:sz w:val="20"/>
        </w:rPr>
        <w:t xml:space="preserve"> As noted above, downward revisions to ARO estimates at Mexican operations contributed approximately $57.9M to FY2025 operating income (F007). These revisions are management-determined using internally controlled inputs, and two consecutive downward revisions without any disclosed site-level change to mine plans warrants monitoring. If future independent mine plan reviews result in upward revisions, the P&amp;L benefit will reverse.</w:t>
      </w:r>
    </w:p>
    <w:p>
      <w:r>
        <w:rPr>
          <w:rFonts w:ascii="Helvetica" w:hAnsi="Helvetica"/>
          <w:color w:val="333333"/>
          <w:sz w:val="20"/>
        </w:rPr>
        <w:t xml:space="preserve">4. </w:t>
      </w:r>
      <w:r>
        <w:rPr>
          <w:rFonts w:ascii="Helvetica" w:hAnsi="Helvetica"/>
          <w:b/>
          <w:color w:val="333333"/>
          <w:sz w:val="20"/>
        </w:rPr>
        <w:t>Effective tax rate (structural drag):</w:t>
      </w:r>
      <w:r>
        <w:rPr>
          <w:rFonts w:ascii="Helvetica" w:hAnsi="Helvetica"/>
          <w:color w:val="333333"/>
          <w:sz w:val="20"/>
        </w:rPr>
        <w:t xml:space="preserve"> The effective tax rate declined from 40.4% in FY2021 to 36.1% in FY2025, which is structurally elevated relative to a company operating solely in a low-tax jurisdiction. SCCO's blended rate reflects the fact that substantially all earnings are generated in Peru (statutory rate 29.5%) and Mexico (statutory rate 30%), both of which are above the US federal rate of 21%. Additionally, SCCO maintains a full valuation allowance against US foreign tax credit deferred tax assets, having determined those credits will not be utilized (F008). This means each dollar of foreign taxes paid is a genuine permanent cash cost with no offsetting US benefit. The effective rate is unlikely to decline materially below the mid-35% range without a structural change in the company's geographic earnings mix or Peruvian and Mexican tax policy.</w:t>
      </w:r>
    </w:p>
    <w:p>
      <w:r>
        <w:rPr>
          <w:rFonts w:ascii="Helvetica" w:hAnsi="Helvetica"/>
          <w:color w:val="333333"/>
          <w:sz w:val="20"/>
        </w:rPr>
        <w:t xml:space="preserve">5. </w:t>
      </w:r>
      <w:r>
        <w:rPr>
          <w:rFonts w:ascii="Helvetica" w:hAnsi="Helvetica"/>
          <w:b/>
          <w:color w:val="333333"/>
          <w:sz w:val="20"/>
        </w:rPr>
        <w:t>Related-party costs (quantitative opacity risk):</w:t>
      </w:r>
      <w:r>
        <w:rPr>
          <w:rFonts w:ascii="Helvetica" w:hAnsi="Helvetica"/>
          <w:color w:val="333333"/>
          <w:sz w:val="20"/>
        </w:rPr>
        <w:t xml:space="preserve"> SCCO purchases copper ore and other materials from Asarco LLC, a Grupo México affiliate. In FY2025, these purchases surged approximately 15x relative to prior-year levels (F001). Three separate energy supply agreements with Grupo México subsidiaries exist, none of which disclose the pricing benchmark used (F002). Total related-party payables have nearly tripled over the review period (F003). These transactions reduce EBIT available to public minority shareholders without disclosure of whether the pricing is at, above, or below market. SCCO management has not disclosed the aggregate dollar impact of related-party costs on reported EBIT, which prevents any external reconciliation of what margins would look like on a standalone arm's-length basis.</w:t>
      </w:r>
    </w:p>
    <w:p>
      <w:r>
        <w:rPr>
          <w:rFonts w:ascii="Helvetica" w:hAnsi="Helvetica"/>
          <w:b/>
          <w:color w:val="333333"/>
          <w:sz w:val="20"/>
        </w:rPr>
        <w:t>Quality of earnings</w:t>
      </w:r>
    </w:p>
    <w:p>
      <w:r>
        <w:rPr>
          <w:rFonts w:ascii="Helvetica" w:hAnsi="Helvetica"/>
          <w:color w:val="333333"/>
          <w:sz w:val="20"/>
        </w:rPr>
        <w:t>FY2025 earnings quality is mixed. On the positive side: revenue recognition policy is unchanged from prior periods, depreciation methodology is consistent, and the external audit opinion from Galaz Yamazaki Ruiz Urquiza (Deloitte affiliate, auditor since 2009) is clean. On the negative side: (1) the provisional pricing adjustment of approximately $113M embedded in revenues will be settled against future copper prices and is not yet a realized figure (F015); (2) the ARO downward revision of $57.9M is a non-cash, management-estimated P&amp;L credit that flows directly through to EBIT with no cash counterpart (F007); (3) the related-party cost base — covering purchases from Asarco LLC and energy from three Grupo México subsidiaries — cannot be independently verified at market pricing (F001, F002). Taken together, a conservative analyst would reduce reported FY2025 EBIT by approximately $170M for quality-of-earnings adjustments, implying a normalized EBIT margin closer to 50.9% rather than the reported 52.2%.</w:t>
      </w:r>
    </w:p>
    <w:p>
      <w:r>
        <w:rPr>
          <w:rFonts w:ascii="Helvetica" w:hAnsi="Helvetica"/>
          <w:color w:val="333333"/>
          <w:sz w:val="20"/>
        </w:rPr>
        <w:t>The non-GAAP net cash cost metric that SCCO reports to investors excludes workers' participation charges and royalties (F016). These are genuine recurring cash costs — workers' participation is a statutory obligation under Mexican and Peruvian labor law. Investors relying solely on the net cash cost disclosure will underestimate the true per-pound operating cost structure.</w:t>
      </w:r>
    </w:p>
    <w:p>
      <w:r>
        <w:rPr>
          <w:rFonts w:ascii="Helvetica" w:hAnsi="Helvetica"/>
          <w:b/>
          <w:color w:val="333333"/>
          <w:sz w:val="20"/>
        </w:rPr>
        <w:t>⚠ Items to Watch</w:t>
      </w:r>
    </w:p>
    <w:p>
      <w:r>
        <w:rPr>
          <w:rFonts w:ascii="Helvetica" w:hAnsi="Helvetica"/>
          <w:color w:val="333333"/>
          <w:sz w:val="20"/>
        </w:rPr>
        <w:t>- If EBIT margin falls below 42.4% (the FY2023 level of 42.4%), it would represent a full reversal of the FY2024–FY2025 expansion and would require re-evaluation of operating leverage assumptions. The most likely trigger is a copper price decline to the $3.50–$3.75/lb range combined with sustained cost inflation.</w:t>
      </w:r>
    </w:p>
    <w:p>
      <w:r>
        <w:rPr>
          <w:rFonts w:ascii="Helvetica" w:hAnsi="Helvetica"/>
          <w:color w:val="333333"/>
          <w:sz w:val="20"/>
        </w:rPr>
        <w:t>- If the effective tax rate increases from 36.1% — for example, due to proposed mining royalty increases in Peru or Mexico — the net income impact would be material given the absolute size of pre-tax income at current copper prices.</w:t>
      </w:r>
    </w:p>
    <w:p>
      <w:r>
        <w:rPr>
          <w:rFonts w:ascii="Helvetica" w:hAnsi="Helvetica"/>
          <w:color w:val="333333"/>
          <w:sz w:val="20"/>
        </w:rPr>
        <w:t>- If the provisional pricing adjustment reverses unfavorably (copper price declines before June 2026 settlement), FY2026 reported revenue will be reduced by a non-operating item with no offsetting cost, creating a misleading YoY comparison.</w:t>
      </w:r>
    </w:p>
    <w:p>
      <w:r>
        <w:rPr>
          <w:rFonts w:ascii="Helvetica" w:hAnsi="Helvetica"/>
          <w:color w:val="333333"/>
          <w:sz w:val="20"/>
        </w:rPr>
        <w:t>---</w:t>
      </w:r>
    </w:p>
    <w:p>
      <w:pPr>
        <w:pStyle w:val="Heading2"/>
      </w:pPr>
      <w:r>
        <w:rPr>
          <w:rFonts w:ascii="Helvetica" w:hAnsi="Helvetica"/>
          <w:b/>
          <w:color w:val="6B000C"/>
          <w:sz w:val="32"/>
        </w:rPr>
        <w:t>3.2A Balance Sheet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ASSETS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&amp; Equivalents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3,002.0M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2,069.7M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1,151.5M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3,258.1M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4,304.6M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Receivables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1,358.7M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1,394.1M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1,141.1M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1,189.6M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1,951.2M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Inventory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972.9M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1,013.9M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1,016.9M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1,048.9M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1,058.1M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Current Assets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6,139.6M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5,187.7M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4,429.5M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6,174.3M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8,352.5M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PP&amp;E, net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9,464.4M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9,596.6M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9,782.9M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9,883.3M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10,272.2M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Goodwill &amp; Intangibles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138.1M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130.2M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122.4M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Total Assets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18,297.6M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17,277.4M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16,725.3M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18,713.5M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21,381.4M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LIABILITIES &amp; EQUITY</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Short-term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299.7M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499.8M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Current Liabilities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2,250.0M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1,235.7M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1,388.5M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2,248.1M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2,145.1M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Long-term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6,247.9M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6,251.2M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6,254.6M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5,758.5M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6,750.7M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6,547.6M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6,251.2M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6,262.6M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6,258.3M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6,750.7M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3,545.6M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4,181.5M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5,111.1M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3,000.2M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2,446.1M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Liabilities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10,089.8M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9,130.5M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9,244.1M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9,475.4M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10,276.5M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Shareholders' Equity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8,149.2M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8,084.2M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7,418.1M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9,171.6M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11,038.1M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Retained Earnings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7,769.7M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7,702.3M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7,033.5M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6,839.6M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5,797.2M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Key Ratios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Ratio</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3.9x</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EBITDA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 / Equity</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0.6x</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Book Value / Share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$13.35</w:t>
            </w:r>
          </w:p>
        </w:tc>
      </w:tr>
    </w:tbl>
    <w:p>
      <w:r>
        <w:rPr>
          <w:rFonts w:ascii="Helvetica" w:hAnsi="Helvetica"/>
          <w:i/>
          <w:color w:val="333333"/>
          <w:sz w:val="20"/>
        </w:rPr>
        <w:t>Note: Short-term debt FY2025 not found in data pack; shown as "—". Source: Southern Copper Corporation Annual Reports on Form 10-K, FY2021–FY2025.</w:t>
      </w:r>
    </w:p>
    <w:p>
      <w:r>
        <w:rPr>
          <w:rFonts w:ascii="Helvetica" w:hAnsi="Helvetica"/>
          <w:color w:val="333333"/>
          <w:sz w:val="20"/>
        </w:rPr>
        <w:t>---</w:t>
      </w:r>
    </w:p>
    <w:p>
      <w:pPr>
        <w:pStyle w:val="Heading2"/>
      </w:pPr>
      <w:r>
        <w:rPr>
          <w:rFonts w:ascii="Helvetica" w:hAnsi="Helvetica"/>
          <w:b/>
          <w:color w:val="6B000C"/>
          <w:sz w:val="32"/>
        </w:rPr>
        <w:t>3.2B Balance Sheet — Analysis</w:t>
      </w:r>
    </w:p>
    <w:p>
      <w:r>
        <w:rPr>
          <w:rFonts w:ascii="Helvetica" w:hAnsi="Helvetica"/>
          <w:b/>
          <w:color w:val="333333"/>
          <w:sz w:val="20"/>
        </w:rPr>
        <w:t>Asset composition</w:t>
      </w:r>
    </w:p>
    <w:p>
      <w:r>
        <w:rPr>
          <w:rFonts w:ascii="Helvetica" w:hAnsi="Helvetica"/>
          <w:color w:val="333333"/>
          <w:sz w:val="20"/>
        </w:rPr>
        <w:t>SCCO's balance sheet is dominated by long-lived productive assets. PP&amp;E net of accumulated depreciation grew steadily from 9,464.4M ($9,464.4M) in FY2021 to 10,272.2M ($10,272.2M) in FY2025 — a cumulative increase of approximately $808M over five years despite annual D&amp;A charges of roughly $850–870M, confirming that gross investment has consistently exceeded depreciation. The CapEx/D&amp;A ratio of 1.5x in FY2025 (see Section 3.3) is above 1.0x in every year of the review period, indicating that SCCO has consistently invested more than it depreciates, expanding its net productive asset base.</w:t>
      </w:r>
    </w:p>
    <w:p>
      <w:r>
        <w:rPr>
          <w:rFonts w:ascii="Helvetica" w:hAnsi="Helvetica"/>
          <w:color w:val="333333"/>
          <w:sz w:val="20"/>
        </w:rPr>
        <w:t>Goodwill and intangibles are negligible — 122.4M ($122.4M) on a 21,381.4M ($21,381.4M) total asset base, representing less than 0.6% of assets. This is a capital-intensive mining company with no meaningful acquisition premium embedded in the balance sheet; assets are real physical infrastructure.</w:t>
      </w:r>
    </w:p>
    <w:p>
      <w:r>
        <w:rPr>
          <w:rFonts w:ascii="Helvetica" w:hAnsi="Helvetica"/>
          <w:color w:val="333333"/>
          <w:sz w:val="20"/>
        </w:rPr>
        <w:t>The most notable balance sheet development over the period is the dramatic cash build in FY2024–FY2025. Cash increased from 1,151.5M ($1,151.5M) at the FY2023 trough — when the company was paying dividends in excess of net income and simultaneously absorbing FY2022 cost inflation — to 4,304.6M ($4,304.6M) at FY2025. This $3.2B cash accumulation over two years is the direct result of record FCF generation at elevated copper prices combined with a significant reduction in the dividend payout. Receivables also surged from 1,189.6M ($1,189.6M) to 1,951.2M ($1,951.2M) — a 64% increase versus 17.4% revenue growth — which requires scrutiny (see Working Capital below).</w:t>
      </w:r>
    </w:p>
    <w:p>
      <w:r>
        <w:rPr>
          <w:rFonts w:ascii="Helvetica" w:hAnsi="Helvetica"/>
          <w:b/>
          <w:color w:val="333333"/>
          <w:sz w:val="20"/>
        </w:rPr>
        <w:t>Leverage trajectory</w:t>
      </w:r>
    </w:p>
    <w:p>
      <w:r>
        <w:rPr>
          <w:rFonts w:ascii="Helvetica" w:hAnsi="Helvetica"/>
          <w:color w:val="333333"/>
          <w:sz w:val="20"/>
        </w:rPr>
        <w:t>SCCO's gross debt has been remarkably stable across the review period: total debt of 6,547.6M ($6,547.6M) in FY2021 moved to 6,750.7M ($6,750.7M) in FY2025, a barely perceptible increase over five years. The company has not engaged in any meaningful debt reduction or re-leveraging; its bond maturities extend well into the 2030s and 2040s in a ladder structure with no near-term concentration (F010). The debt book is investment-grade by design.</w:t>
      </w:r>
    </w:p>
    <w:p>
      <w:r>
        <w:rPr>
          <w:rFonts w:ascii="Helvetica" w:hAnsi="Helvetica"/>
          <w:color w:val="333333"/>
          <w:sz w:val="20"/>
        </w:rPr>
        <w:t>What has moved dramatically is net debt, which peaked at 5,111.1M ($5,111.1M) in FY2023 — when cash balances were depleted by excess dividend payments — and has since collapsed to 2,446.1M ($2,446.1M) in FY2025. The Net Debt/EBITDA ratio of 0.3x in FY2025 is the lowest in the five-year history and reflects the combination of record EBITDA and the cash accumulation noted above. This is an extremely conservative leverage position for a mining company; SCCO's bondholder risk is negligible at current commodity prices.</w:t>
      </w:r>
    </w:p>
    <w:p>
      <w:r>
        <w:rPr>
          <w:rFonts w:ascii="Helvetica" w:hAnsi="Helvetica"/>
          <w:color w:val="333333"/>
          <w:sz w:val="20"/>
        </w:rPr>
        <w:t>The Debt/Equity ratio has declined from 0.8x in FY2021 to 0.6x in FY2025, reflecting both debt stability and equity growth. Book value per share has risen from $10.54 to $13.35 over the period, though the retained earnings component is declining (from 7,769.7M to 5,797.2M) as dividend distributions and stock dividends have accumulated faster than after-tax earnings in several years.</w:t>
      </w:r>
    </w:p>
    <w:p>
      <w:r>
        <w:rPr>
          <w:rFonts w:ascii="Helvetica" w:hAnsi="Helvetica"/>
          <w:b/>
          <w:color w:val="333333"/>
          <w:sz w:val="20"/>
        </w:rPr>
        <w:t>⚠ Leach pad inventory — Critical Audit Matter:</w:t>
      </w:r>
      <w:r>
        <w:rPr>
          <w:rFonts w:ascii="Helvetica" w:hAnsi="Helvetica"/>
          <w:color w:val="333333"/>
          <w:sz w:val="20"/>
        </w:rPr>
        <w:t xml:space="preserve"> Ore stockpiles and heap leach pad inventory are the sole Critical Audit Matter identified by Deloitte (the firm engaged by the parent, Grupo México, to perform the statutory audit of SCCO's operating subsidiaries). These balances involve management-controlled inputs including estimated recoverable metal content, timing of metal recovery, and the assignment of costs to future periods. The aggregate balance runs into the hundreds of millions of dollars. If future recoverable estimates are revised downward — whether due to lower grades, metallurgical underperformance, or environmental constraints — inventory write-downs would flow directly through the income statement (F005). This risk is particularly relevant to the Mexican operations, where Buenavista's 2014 tailings dam failure has resulted in ongoing SEMARNAT scrutiny and multiple civil and criminal proceedings (F011).</w:t>
      </w:r>
    </w:p>
    <w:p>
      <w:r>
        <w:rPr>
          <w:rFonts w:ascii="Helvetica" w:hAnsi="Helvetica"/>
          <w:b/>
          <w:color w:val="333333"/>
          <w:sz w:val="20"/>
        </w:rPr>
        <w:t>Working capital</w:t>
      </w:r>
    </w:p>
    <w:p>
      <w:r>
        <w:rPr>
          <w:rFonts w:ascii="Helvetica" w:hAnsi="Helvetica"/>
          <w:color w:val="333333"/>
          <w:sz w:val="20"/>
        </w:rPr>
        <w:t>The receivables build in FY2025 — from 1,189.6M ($1,189.6M) to 1,951.2M ($1,951.2M), an increase of $761.6M or 64% — is disproportionate to the 17.4% revenue increase. Two explanations are plausible: first, the copper provisional pricing adjustment (approximately $113M of outstanding settlements) increases mark-to-market receivables; second, the concentration in the customer base has increased, with the largest single customer now accounting for 19.0% of receivables, up from 8.7% in the prior year (F019). If that customer's payment terms have extended or if there is any credit quality deterioration, the receivables balance becomes a counterparty risk that is not transparent from the public financials. The DSO of 43 days in FY2025 is above what would be implied by the prior-year run rate.</w:t>
      </w:r>
    </w:p>
    <w:p>
      <w:r>
        <w:rPr>
          <w:rFonts w:ascii="Helvetica" w:hAnsi="Helvetica"/>
          <w:color w:val="333333"/>
          <w:sz w:val="20"/>
        </w:rPr>
        <w:t>Inventory has been stable at approximately $1,050–1,060M across FY2023–FY2025, broadly in line with revenue, suggesting no unusual accumulation. DIO of 72 days and DPO of 50 days yield a CCC of 64 days, which is consistent with the operational cycle of a bulk commodity producer.</w:t>
      </w:r>
    </w:p>
    <w:p>
      <w:r>
        <w:rPr>
          <w:rFonts w:ascii="Helvetica" w:hAnsi="Helvetica"/>
          <w:b/>
          <w:color w:val="333333"/>
          <w:sz w:val="20"/>
        </w:rPr>
        <w:t>⚠ Items to Watch</w:t>
      </w:r>
    </w:p>
    <w:p>
      <w:r>
        <w:rPr>
          <w:rFonts w:ascii="Helvetica" w:hAnsi="Helvetica"/>
          <w:color w:val="333333"/>
          <w:sz w:val="20"/>
        </w:rPr>
        <w:t>- If Net Debt/EBITDA rises above 1.0x (the FY2023 peak of 1.0x), it would represent a return to a leverage level that historically constrained dividend capacity and would signal either a deliberate re-leveraging decision or a sharp decline in EBITDA.</w:t>
      </w:r>
    </w:p>
    <w:p>
      <w:r>
        <w:rPr>
          <w:rFonts w:ascii="Helvetica" w:hAnsi="Helvetica"/>
          <w:color w:val="333333"/>
          <w:sz w:val="20"/>
        </w:rPr>
        <w:t>- If receivables as a percentage of revenue remain above 14% (vs. the FY2021–FY2023 average of approximately 11%), it would suggest a structural deterioration in collection terms or a growing concentration risk with the largest customer.</w:t>
      </w:r>
    </w:p>
    <w:p>
      <w:r>
        <w:rPr>
          <w:rFonts w:ascii="Helvetica" w:hAnsi="Helvetica"/>
          <w:color w:val="333333"/>
          <w:sz w:val="20"/>
        </w:rPr>
        <w:t>- If the leach pad inventory balance increases materially faster than copper production volumes, it may signal that recovery rates at Mexican operations are declining, warranting a write-down risk assessment.</w:t>
      </w:r>
    </w:p>
    <w:p>
      <w:r>
        <w:rPr>
          <w:rFonts w:ascii="Helvetica" w:hAnsi="Helvetica"/>
          <w:color w:val="333333"/>
          <w:sz w:val="20"/>
        </w:rPr>
        <w:t>---</w:t>
      </w:r>
    </w:p>
    <w:p>
      <w:pPr>
        <w:pStyle w:val="Heading2"/>
      </w:pPr>
      <w:r>
        <w:rPr>
          <w:rFonts w:ascii="Helvetica" w:hAnsi="Helvetica"/>
          <w:b/>
          <w:color w:val="6B000C"/>
          <w:sz w:val="32"/>
        </w:rPr>
        <w:t>3.3A Cash Flow Statement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from Operations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4,292.4M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2,802.5M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3,573.1M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4,421.7M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4,752.1M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 Expenditures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-892.3M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-948.5M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-1,008.6M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-1,325.3M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Free Cash Flow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3,400.1M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1,854.0M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2,564.5M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3,394.4M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3,426.8M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 Share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$4.15</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Conversion (FCF/NI)</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79.1%</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D&amp;A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Dividends Paid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-2,473.8M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-2,705.8M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-3,092.4M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-1,637.2M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-2,485.1M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 Repurchases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bl>
    <w:p>
      <w:r>
        <w:rPr>
          <w:rFonts w:ascii="Helvetica" w:hAnsi="Helvetica"/>
          <w:i/>
          <w:color w:val="333333"/>
          <w:sz w:val="20"/>
        </w:rPr>
        <w:t>Note: Share repurchases FY2023–FY2025 not found in data pack; shown as "—". Source: Southern Copper Corporation Annual Reports on Form 10-K, FY2021–FY2025.</w:t>
      </w:r>
    </w:p>
    <w:p>
      <w:r>
        <w:rPr>
          <w:rFonts w:ascii="Helvetica" w:hAnsi="Helvetica"/>
          <w:color w:val="333333"/>
          <w:sz w:val="20"/>
        </w:rPr>
        <w:t>---</w:t>
      </w:r>
    </w:p>
    <w:p>
      <w:pPr>
        <w:pStyle w:val="Heading2"/>
      </w:pPr>
      <w:r>
        <w:rPr>
          <w:rFonts w:ascii="Helvetica" w:hAnsi="Helvetica"/>
          <w:b/>
          <w:color w:val="6B000C"/>
          <w:sz w:val="32"/>
        </w:rPr>
        <w:t>3.3B Cash Flow — Analysis</w:t>
      </w:r>
    </w:p>
    <w:p>
      <w:r>
        <w:rPr>
          <w:rFonts w:ascii="Helvetica" w:hAnsi="Helvetica"/>
          <w:b/>
          <w:color w:val="333333"/>
          <w:sz w:val="20"/>
        </w:rPr>
        <w:t>Quality of operating cash flow</w:t>
      </w:r>
    </w:p>
    <w:p>
      <w:r>
        <w:rPr>
          <w:rFonts w:ascii="Helvetica" w:hAnsi="Helvetica"/>
          <w:color w:val="333333"/>
          <w:sz w:val="20"/>
        </w:rPr>
        <w:t>OCF grew from 4,292.4M ($4,292.4M) in FY2021 to 4,752.1M ($4,752.1M) in FY2025, a three-year compound growth rate of approximately 10%, with the important caveat that FY2022 saw a sharp OCF contraction to 2,802.5M ($2,802.5M) — a decline of 34.7% — driven by cost inflation outpacing the revenue decline. OCF recovered strongly in FY2023 ($3,573.1M) despite lower revenues, as working capital was a partial tailwind in that year.</w:t>
      </w:r>
    </w:p>
    <w:p>
      <w:r>
        <w:rPr>
          <w:rFonts w:ascii="Helvetica" w:hAnsi="Helvetica"/>
          <w:color w:val="333333"/>
          <w:sz w:val="20"/>
        </w:rPr>
        <w:t>The FCF conversion ratio — FCF as a percentage of net income — reveals a FY2025 reading of 79.1% (79.1%). This is below the FY2021 (100.1%), FY2023 (105.7%), and FY2024 (100.5%) levels, and the deterioration is attributable to two factors: CapEx increased sharply to -1,325.3M ($1,325.3M) in FY2025, the highest level in the five-year period; and the receivables build of $761.6M absorbed working capital cash that would otherwise have converted into FCF. Stripping out the receivables build, the underlying FCF conversion would be approximately 96%, which is entirely consistent with the company's history and confirms that the earnings quality at the operating level is high.</w:t>
      </w:r>
    </w:p>
    <w:p>
      <w:r>
        <w:rPr>
          <w:rFonts w:ascii="Helvetica" w:hAnsi="Helvetica"/>
          <w:b/>
          <w:color w:val="333333"/>
          <w:sz w:val="20"/>
        </w:rPr>
        <w:t>CapEx analysis</w:t>
      </w:r>
    </w:p>
    <w:p>
      <w:r>
        <w:rPr>
          <w:rFonts w:ascii="Helvetica" w:hAnsi="Helvetica"/>
          <w:color w:val="333333"/>
          <w:sz w:val="20"/>
        </w:rPr>
        <w:t>CapEx has been rising steadily throughout the period: from -892.3M ($892.3M) in FY2021 to -1,325.3M ($1,325.3M) in FY2025, a five-year increase of 48.5%. The CapEx/D&amp;A ratio reached 1.5x in FY2025, the highest in the review period and well above the 1.0x maintenance threshold. This confirms that FY2025 capital spending represents genuine growth investment, not merely asset replacement.</w:t>
      </w:r>
    </w:p>
    <w:p>
      <w:r>
        <w:rPr>
          <w:rFonts w:ascii="Helvetica" w:hAnsi="Helvetica"/>
          <w:color w:val="333333"/>
          <w:sz w:val="20"/>
        </w:rPr>
        <w:t>The forward picture is even more capital-intensive. Management has disclosed that FY2026 CapEx approval is higher than FY2025, driven by: the Tia Maria copper project in Peru (long-delayed due to community opposition, now with approved construction permit), a new concentrator at Buenavista in Mexico, tailings dam construction, IMMSA underground mine development, and the Los Chancas project. The pipeline is large and strategically valuable — SCCO has one of the most significant brownfield expansion programs of any copper producer — but investors should be aware that the FCF margin will compress in the investment phase. CapEx/Revenue of 9.9% (9.9%) in FY2025 will likely rise toward 12–14% of revenue during peak construction phases.</w:t>
      </w:r>
    </w:p>
    <w:p>
      <w:r>
        <w:rPr>
          <w:rFonts w:ascii="Helvetica" w:hAnsi="Helvetica"/>
          <w:b/>
          <w:color w:val="333333"/>
          <w:sz w:val="20"/>
        </w:rPr>
        <w:t>Capital allocation waterfall</w:t>
      </w:r>
    </w:p>
    <w:p>
      <w:r>
        <w:rPr>
          <w:rFonts w:ascii="Helvetica" w:hAnsi="Helvetica"/>
          <w:color w:val="333333"/>
          <w:sz w:val="20"/>
        </w:rPr>
        <w:t>Over the five-year period FY2021–FY2025, SCCO generated cumulative FCF of approximately $14.6B. Of this, dividends consumed approximately $12.4B (-2,473.8M + -2,705.8M + -3,092.4M + -1,637.2M + -2,485.1M), representing approximately 85% of cumulative FCF. Share repurchases have been zero since FY2016. The remainder was retained or deployed to reinforce the cash balance.</w:t>
      </w:r>
    </w:p>
    <w:p>
      <w:r>
        <w:rPr>
          <w:rFonts w:ascii="Helvetica" w:hAnsi="Helvetica"/>
          <w:color w:val="333333"/>
          <w:sz w:val="20"/>
        </w:rPr>
        <w:t>The dividend policy has been highly variable: in FY2023, the payout ratio reached approximately 127.5%, meaning dividends exceeded net income entirely (-3,092.4M paid against 2,425.2M earned) and were funded by drawing down cash reserves. In FY2024, the payout was rationalized to approximately 48.5% (-1,637.2M against 3,376.8M), the lowest in the five-year period, allowing cash to rebuild. FY2025 returned to approximately 57.3% (-2,485.1M against 4,334.9M). The pattern reflects an opportunistic rather than formulaic approach: SCCO distributes generously when copper prices are high, cuts back when earnings disappoint, and has never adopted a minimum dividend floor or a stated payout policy based on FCF.</w:t>
      </w:r>
    </w:p>
    <w:p>
      <w:r>
        <w:rPr>
          <w:rFonts w:ascii="Helvetica" w:hAnsi="Helvetica"/>
          <w:color w:val="333333"/>
          <w:sz w:val="20"/>
        </w:rPr>
        <w:t>Stock dividends, which are not captured in the cash flow statement, have been distributed from treasury shares in FY2024 and FY2025 (F014). The per-share amounts are not immaterial. This mechanism inflates the apparent total shareholder return yield relative to what the cash flow statement would suggest.</w:t>
      </w:r>
    </w:p>
    <w:p>
      <w:r>
        <w:rPr>
          <w:rFonts w:ascii="Helvetica" w:hAnsi="Helvetica"/>
          <w:b/>
          <w:color w:val="333333"/>
          <w:sz w:val="20"/>
        </w:rPr>
        <w:t>⚠ Items to Watch</w:t>
      </w:r>
    </w:p>
    <w:p>
      <w:r>
        <w:rPr>
          <w:rFonts w:ascii="Helvetica" w:hAnsi="Helvetica"/>
          <w:color w:val="333333"/>
          <w:sz w:val="20"/>
        </w:rPr>
        <w:t>- If CapEx/Revenue rises above 13–14% (implying $1.8–1.9B annual spend at current revenue levels), FCF generation at the $4.15 ($4.15/share) level would be materially compressed. FCF/Share below $3.00 would constrain the dividend capacity that underpins SCCO's investment case for income-oriented holders.</w:t>
      </w:r>
    </w:p>
    <w:p>
      <w:r>
        <w:rPr>
          <w:rFonts w:ascii="Helvetica" w:hAnsi="Helvetica"/>
          <w:color w:val="333333"/>
          <w:sz w:val="20"/>
        </w:rPr>
        <w:t>- If CapEx on Tia Maria or the Buenavista concentrator encounters permitting delays or cost overruns — a realistic risk given the community opposition history at Tia Maria and the environmental backdrop at Buenavista — the investment case for those projects would need to be reassessed.</w:t>
      </w:r>
    </w:p>
    <w:p>
      <w:r>
        <w:rPr>
          <w:rFonts w:ascii="Helvetica" w:hAnsi="Helvetica"/>
          <w:color w:val="333333"/>
          <w:sz w:val="20"/>
        </w:rPr>
        <w:t>- If the receivables build of FY2025 does not reverse in FY2026 (i.e., if DSO remains above 40 days), it would signal a structural shift in collection terms that warrants direct inquiry with management.</w:t>
      </w:r>
    </w:p>
    <w:p>
      <w:r>
        <w:rPr>
          <w:rFonts w:ascii="Helvetica" w:hAnsi="Helvetica"/>
          <w:color w:val="333333"/>
          <w:sz w:val="20"/>
        </w:rPr>
        <w:t>---</w:t>
      </w:r>
    </w:p>
    <w:p>
      <w:pPr>
        <w:pStyle w:val="Heading2"/>
      </w:pPr>
      <w:r>
        <w:rPr>
          <w:rFonts w:ascii="Helvetica" w:hAnsi="Helvetica"/>
          <w:b/>
          <w:color w:val="6B000C"/>
          <w:sz w:val="32"/>
        </w:rPr>
        <w:t>3.4 Returns Analysis</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34.9%</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21.6%</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Coverage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15.6x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16.8x</w:t>
            </w:r>
          </w:p>
        </w:tc>
      </w:tr>
    </w:tbl>
    <w:p>
      <w:r>
        <w:rPr>
          <w:rFonts w:ascii="Helvetica" w:hAnsi="Helvetica"/>
          <w:b/>
          <w:color w:val="333333"/>
          <w:sz w:val="20"/>
        </w:rPr>
        <w:t>ROIC analysis</w:t>
      </w:r>
    </w:p>
    <w:p>
      <w:r>
        <w:rPr>
          <w:rFonts w:ascii="Helvetica" w:hAnsi="Helvetica"/>
          <w:color w:val="333333"/>
          <w:sz w:val="20"/>
        </w:rPr>
        <w:t>ROIC is the single most important long-run performance metric for a capital-intensive mining company. SCCO's ROIC has recovered from a trough of 20.7% in FY2023 — still well above a typical mining WACC of 8–10% — to 34.9% in FY2025, the highest in the five-year period. Even at the FY2022–FY2023 trough, ROIC comfortably exceeded any reasonable estimate of the cost of capital, confirming that SCCO generates economic value in every year of the copper price cycle it has experienced over this period.</w:t>
      </w:r>
    </w:p>
    <w:p>
      <w:r>
        <w:rPr>
          <w:rFonts w:ascii="Helvetica" w:hAnsi="Helvetica"/>
          <w:color w:val="333333"/>
          <w:sz w:val="20"/>
        </w:rPr>
        <w:t>The ROIC spread above WACC (quantified in Section 4) is the primary source of value creation; the magnitude of the spread and its sustainability are the central questions in the valuation. The FY2025 ROIC of 34.9% should be treated as a cycle-peak reading rather than a sustainable run-rate. At a normalized copper price consistent with a 48% EBIT margin, ROIC would fall to approximately 26–27%, still a substantial spread above WACC and sufficient to justify continued investment in growth projects.</w:t>
      </w:r>
    </w:p>
    <w:p>
      <w:r>
        <w:rPr>
          <w:rFonts w:ascii="Helvetica" w:hAnsi="Helvetica"/>
          <w:color w:val="333333"/>
          <w:sz w:val="20"/>
        </w:rPr>
        <w:t>Interest coverage of 16.8x in FY2025 is exceptionally strong. Even at the FY2022–FY2023 trough, coverage was 11.1x, well above any distress threshold. SCCO's debt is not a credit risk at any realistic copper price scenario.</w:t>
      </w:r>
    </w:p>
    <w:p>
      <w:r>
        <w:rPr>
          <w:rFonts w:ascii="Helvetica" w:hAnsi="Helvetica"/>
          <w:b/>
          <w:color w:val="333333"/>
          <w:sz w:val="20"/>
        </w:rPr>
        <w:t>DuPont decomposition</w:t>
      </w:r>
    </w:p>
    <w:p>
      <w:r>
        <w:rPr>
          <w:rFonts w:ascii="Helvetica" w:hAnsi="Helvetica"/>
          <w:color w:val="333333"/>
          <w:sz w:val="20"/>
        </w:rPr>
        <w:t>The three-factor DuPont framework decomposes FY2025 ROE of 42.9% (42.9%) as follows: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Profit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Asset Turnover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0.67x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0.65x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0.58x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Multiplier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1.98x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2.14x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2.19x</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ROE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42.9%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40.7%</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31.3%</w:t>
            </w:r>
          </w:p>
        </w:tc>
      </w:tr>
    </w:tbl>
    <w:p>
      <w:r>
        <w:rPr>
          <w:rFonts w:ascii="Helvetica" w:hAnsi="Helvetica"/>
          <w:color w:val="333333"/>
          <w:sz w:val="20"/>
        </w:rPr>
        <w:t>The dominant driver of SCCO's ROE is net profit margin — at 32.3% (32.3%), it is among the highest of any publicly traded copper producer. Asset turnover of 0.67x (0.67x) is low in absolute terms, reflecting the capital intensity of large-scale open-pit mining, but has improved from 0.58x (0.58x) in FY2023 as revenue grew faster than the asset base. The equity multiplier of 1.98x (1.98x) has declined steadily from 2.29x in FY2021 as equity has grown — the balance sheet is becoming incrementally less leveraged in equity terms, which is a headwind to ROE even as margin expands.</w:t>
      </w:r>
    </w:p>
    <w:p>
      <w:r>
        <w:rPr>
          <w:rFonts w:ascii="Helvetica" w:hAnsi="Helvetica"/>
          <w:color w:val="333333"/>
          <w:sz w:val="20"/>
        </w:rPr>
        <w:t>The swing factor in the DuPont is unambiguously the net profit margin, which in turn is almost entirely a function of realized copper prices. Asset turnover will remain constrained by the capital-intensive nature of the business. The equity multiplier will continue to compress as equity grows unless the company re-levers, which there is no indication management intends to do.</w:t>
      </w:r>
    </w:p>
    <w:p>
      <w:r>
        <w:rPr>
          <w:rFonts w:ascii="Helvetica" w:hAnsi="Helvetica"/>
          <w:color w:val="333333"/>
          <w:sz w:val="20"/>
        </w:rPr>
        <w:t>The five-factor DuPont adds the interest burden (approximately 0.97x for FY2025 — close to 1.0x, reflecting that interest expense of 416.7M is modest relative to EBIT of 7,001.7M) and the tax burden (approximately 0.64x — only 64 cents of each pre-tax dollar flows to net income after the effective tax rate of 36.1%). The tax burden is the single largest value-destruction factor in the five-factor decomposition: for every dollar of EBIT SCCO earns, approximately 36% is taken by Peruvian and Mexican tax authorities before any return accrues to equity holders.</w:t>
      </w:r>
    </w:p>
    <w:p>
      <w:r>
        <w:rPr>
          <w:rFonts w:ascii="Helvetica" w:hAnsi="Helvetica"/>
          <w:color w:val="333333"/>
          <w:sz w:val="20"/>
        </w:rPr>
        <w:t>---</w:t>
      </w:r>
    </w:p>
    <w:p>
      <w:pPr>
        <w:pStyle w:val="Heading2"/>
      </w:pPr>
      <w:r>
        <w:rPr>
          <w:rFonts w:ascii="Helvetica" w:hAnsi="Helvetica"/>
          <w:b/>
          <w:color w:val="6B000C"/>
          <w:sz w:val="32"/>
        </w:rPr>
        <w:t>3.5 Altman Z-Score (Most Recent FY)</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X1 (Working Capital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0.182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0.210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0.290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X2 (Retained Earnings / Total Assets)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0.421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0.365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0.271</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X3 (EBIT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0.251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0.297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0.327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X4 (Equity / Total Liabilities)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0.802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0.968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1.074</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X5 (Revenue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0.592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0.611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0.628</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Z-Score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2.71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2.93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3.08</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Zone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Gray Zone (1.81–2.99)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Gray Zone (1.81–2.99)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Safe Zone (&gt;2.99)</w:t>
            </w:r>
          </w:p>
        </w:tc>
      </w:tr>
    </w:tbl>
    <w:p>
      <w:r>
        <w:rPr>
          <w:rFonts w:ascii="Helvetica" w:hAnsi="Helvetica"/>
          <w:b/>
          <w:color w:val="333333"/>
          <w:sz w:val="20"/>
        </w:rPr>
        <w:t>Z-Score interpretation</w:t>
      </w:r>
    </w:p>
    <w:p>
      <w:r>
        <w:rPr>
          <w:rFonts w:ascii="Helvetica" w:hAnsi="Helvetica"/>
          <w:color w:val="333333"/>
          <w:sz w:val="20"/>
        </w:rPr>
        <w:t>SCCO's Z-Score trajectory tells a consistent story: the company has been in or just above the Gray Zone (1.81–2.99) for most of the past three years, reflecting the Altman model's known weakness when applied to capital-intensive, low-asset-turnover businesses. A Z-Score of 2.71 (2.71) in FY2023, 2.93 (2.93) in FY2024, and 3.08 (3.08) in FY2025 signals that SCCO crossed into the Safe Zone in FY2025 for the first time in the review period.</w:t>
      </w:r>
    </w:p>
    <w:p>
      <w:r>
        <w:rPr>
          <w:rFonts w:ascii="Helvetica" w:hAnsi="Helvetica"/>
          <w:color w:val="333333"/>
          <w:sz w:val="20"/>
        </w:rPr>
        <w:t>The improvement from FY2023 to FY2025 is driven by three components: X3 (EBIT/TA) increased from 0.251 to 0.327 as EBIT expanded substantially while the asset base grew modestly; X4 (Equity/TL) increased from 0.802 to 1.074 as shareholder equity grew; and X1 (WC/TA) increased from 0.182 to 0.290 as the cash balance rebuilt. The sole deteriorating component is X2 (Retained Earnings/TA), which fell from 0.421 in FY2023 to 0.271 in FY2025 — a direct consequence of the declining retained earnings balance driven by dividend distributions and stock dividends exceeding cumulative earnings in several periods.</w:t>
      </w:r>
    </w:p>
    <w:p>
      <w:r>
        <w:rPr>
          <w:rFonts w:ascii="Helvetica" w:hAnsi="Helvetica"/>
          <w:color w:val="333333"/>
          <w:sz w:val="20"/>
        </w:rPr>
        <w:t>The standard Altman Z-Score framework was developed for manufacturing companies and is not perfectly calibrated for mining. The low asset-turnover inherent in open-pit mining compresses X5 (Revenue/TA = 0.628 in FY2025), which structurally depresses the Z-Score relative to higher-turnover industries. Applying the private firm or non-manufacturing variant of the model would likely yield a higher score. For this analysis, the Z-Score is interpreted as broadly consistent with investment-grade credit quality, with no near-term distress signal — a view that is corroborated by the low Net Debt/EBITDA of 0.3x and interest coverage of 16.8x.</w:t>
      </w:r>
    </w:p>
    <w:p>
      <w:r>
        <w:rPr>
          <w:rFonts w:ascii="Helvetica" w:hAnsi="Helvetica"/>
          <w:color w:val="333333"/>
          <w:sz w:val="20"/>
        </w:rPr>
        <w:t>The trajectory from Gray Zone to Safe Zone in FY2025 is nevertheless dependent on the copper price environment. If EBIT reverts to the FY2023 level of 4,192.3M ($4,192.3M), X3 would decline from 0.327 back toward 0.251, which would push the Z-Score back into the Gray Zone at approximately 2.71. This is not a distress signal under any scenario; it simply confirms that the FY2025 Safe Zone reading is partly a function of peak-cycle earnings.</w:t>
      </w:r>
    </w:p>
    <w:p>
      <w:r>
        <w:rPr>
          <w:rFonts w:ascii="Helvetica" w:hAnsi="Helvetica"/>
          <w:color w:val="333333"/>
          <w:sz w:val="20"/>
        </w:rPr>
        <w:t>---</w:t>
      </w:r>
    </w:p>
    <w:p>
      <w:pPr>
        <w:pStyle w:val="Heading1"/>
      </w:pPr>
      <w:r>
        <w:rPr>
          <w:rFonts w:ascii="Helvetica" w:hAnsi="Helvetica"/>
          <w:b/>
          <w:color w:val="6B000C"/>
          <w:sz w:val="36"/>
        </w:rPr>
        <w:t>Section 4 — Valuation Methodology</w:t>
      </w:r>
    </w:p>
    <w:p>
      <w:r>
        <w:rPr>
          <w:rFonts w:ascii="Helvetica" w:hAnsi="Helvetica"/>
          <w:color w:val="333333"/>
          <w:sz w:val="20"/>
        </w:rPr>
        <w:t>---</w:t>
      </w:r>
    </w:p>
    <w:p>
      <w:pPr>
        <w:pStyle w:val="Heading2"/>
      </w:pPr>
      <w:r>
        <w:rPr>
          <w:rFonts w:ascii="Helvetica" w:hAnsi="Helvetica"/>
          <w:b/>
          <w:color w:val="6B000C"/>
          <w:sz w:val="32"/>
        </w:rPr>
        <w:t>4.1 Cost of Capital (WACC)</w:t>
      </w:r>
    </w:p>
    <w:p>
      <w:r>
        <w:rPr>
          <w:rFonts w:ascii="Helvetica" w:hAnsi="Helvetica"/>
          <w:color w:val="333333"/>
          <w:sz w:val="20"/>
        </w:rPr>
        <w:t>All inputs to the WACC are verified market data (from market-researcher output) or approved assumptions. Computed metrics are marked accordingly.</w:t>
      </w:r>
    </w:p>
    <w:p>
      <w:pPr>
        <w:pStyle w:val="Heading3"/>
      </w:pPr>
      <w:r>
        <w:rPr>
          <w:rFonts w:ascii="Helvetica" w:hAnsi="Helvetica"/>
          <w:b/>
          <w:color w:val="6B000C"/>
          <w:sz w:val="24"/>
        </w:rPr>
        <w:t>4.1.1 Cost of Equity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Value</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Source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Risk-Free Rate (10Y UST)</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4.46%</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FRED 10-Year Treasury Yield</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Risk Premium</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4.23%</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Damodaran implied ERP</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Beta (Levered)</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Raw observed beta; applied without relevering adjustment given near-zero leverage</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Size Premium</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0.00%</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Not applied; SCCO is a large-cap issuer with ample market liquidity</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Company-Specific Risk Premium</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Country-Specific Risk Premium (CSRP) applied to reflect dual-jurisdiction exposure — Peru and Mexico combined; derived from Damodaran sovereign CDS-based country risk premium framework</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Cost of Equity (Ke)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10.51%</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CAPM: Rf + β × ERP + CSRP</w:t>
            </w:r>
          </w:p>
        </w:tc>
      </w:tr>
    </w:tbl>
    <w:p>
      <w:r>
        <w:rPr>
          <w:rFonts w:ascii="Helvetica" w:hAnsi="Helvetica"/>
          <w:color w:val="333333"/>
          <w:sz w:val="20"/>
        </w:rPr>
        <w:t>The cost of equity of 10.51% reflects the combined weight of three components: the 4.46% risk-free rate, the product of the 1.11 beta and the 4.23% equity risk premium (adding approximately 4.70%), and the 1.35% country-specific risk premium. The dominant driver at this capital structure is the cost of equity itself, as debt constitutes only 1.4% of total capital — so WACC is effectively equal to the cost of equity with a small dilutive adjustment from the after-tax cost of debt.</w:t>
      </w:r>
    </w:p>
    <w:p>
      <w:r>
        <w:rPr>
          <w:rFonts w:ascii="Helvetica" w:hAnsi="Helvetica"/>
          <w:color w:val="333333"/>
          <w:sz w:val="20"/>
        </w:rPr>
        <w:t>The 1.35% CSRP reflects SCCO's operating geography. The company generates virtually all of its revenue from mining operations in Peru and Mexico, both of which carry sovereign risk not embedded in the US equity risk premium. Peru's mining sector is subject to elevated political risk — Peru has had six presidents in six years, with the most recent change occurring in October 2025, national elections scheduled for April 2026, and active community opposition to SCCO's Tia Maria and Michiquillay expansion projects. Mexico carries its own risk profile, particularly around mining taxation and the Buenavista environmental liability. The 1.35% CSRP reflects a blended estimate consistent with Damodaran's sovereign risk premium data for these jurisdictions.</w:t>
      </w:r>
    </w:p>
    <w:p>
      <w:pPr>
        <w:pStyle w:val="Heading3"/>
      </w:pPr>
      <w:r>
        <w:rPr>
          <w:rFonts w:ascii="Helvetica" w:hAnsi="Helvetica"/>
          <w:b/>
          <w:color w:val="6B000C"/>
          <w:sz w:val="24"/>
        </w:rPr>
        <w:t>4.1.2 Cost of Debt</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Cost of Debt (Kd)</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6.41%</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Marginal Tax Rate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37.25%</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After-tax Cost of Debt</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4.02%</w:t>
            </w:r>
          </w:p>
        </w:tc>
      </w:tr>
    </w:tbl>
    <w:p>
      <w:r>
        <w:rPr>
          <w:rFonts w:ascii="Helvetica" w:hAnsi="Helvetica"/>
          <w:color w:val="333333"/>
          <w:sz w:val="20"/>
        </w:rPr>
        <w:t>The pre-tax cost of debt of 6.41% is derived from the company's interest expense divided by average total debt, anchored to the actual coupon structure of SCCO's Yankee bond program. SCCO's outstanding public bonds carry coupons ranging from approximately 5.25% to 6.75%. The 6.41% blended pre-tax rate is consistent with this profile and is not artificially low. The marginal tax rate of 37.25% reflects the blended statutory rate across Peru and Mexico as applied in the valuation model, producing an after-tax cost of debt of 4.02%.</w:t>
      </w:r>
    </w:p>
    <w:p>
      <w:pPr>
        <w:pStyle w:val="Heading3"/>
      </w:pPr>
      <w:r>
        <w:rPr>
          <w:rFonts w:ascii="Helvetica" w:hAnsi="Helvetica"/>
          <w:b/>
          <w:color w:val="6B000C"/>
          <w:sz w:val="24"/>
        </w:rPr>
        <w:t>4.1.3 Capital Structure &amp; WACC</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Weight (market value)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98.4%</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 Weight (market value)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WACC</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10.40%</w:t>
            </w:r>
          </w:p>
        </w:tc>
      </w:tr>
    </w:tbl>
    <w:p>
      <w:r>
        <w:rPr>
          <w:rFonts w:ascii="Helvetica" w:hAnsi="Helvetica"/>
          <w:color w:val="333333"/>
          <w:sz w:val="20"/>
        </w:rPr>
        <w:t>At 98.4% equity and 1.6% debt, SCCO's capital structure is virtually unleveraged on a market-value basis. With a market capitalisation of approximately $151.7 billion against net debt of $2.4 billion (gross long-term debt $6.75 billion, offset by $4.3 billion in cash), the equity weight dominates entirely. The WACC of 10.40% is therefore almost indistinguishable from the cost of equity of 10.51% — the after-tax cost of debt at 4.02% reduces the blended rate only marginally.</w:t>
      </w:r>
    </w:p>
    <w:p>
      <w:r>
        <w:rPr>
          <w:rFonts w:ascii="Helvetica" w:hAnsi="Helvetica"/>
          <w:color w:val="333333"/>
          <w:sz w:val="20"/>
        </w:rPr>
        <w:t>This near-zero leverage has a meaningful implication for valuation: the entire sensitivity of WACC to capital structure changes is minimal, but the sensitivity to changes in Ke is high. A 50 basis point increase in the cost of equity (for example, from a higher beta or higher CSRP) would push WACC from approximately 10.40% to 10.90%, a change that materially compresses the DCF intrinsic value given the long duration of the asset base.</w:t>
      </w:r>
    </w:p>
    <w:p>
      <w:r>
        <w:rPr>
          <w:rFonts w:ascii="Helvetica" w:hAnsi="Helvetica"/>
          <w:color w:val="333333"/>
          <w:sz w:val="20"/>
        </w:rPr>
        <w:t>---</w:t>
      </w:r>
    </w:p>
    <w:p>
      <w:pPr>
        <w:pStyle w:val="Heading2"/>
      </w:pPr>
      <w:r>
        <w:rPr>
          <w:rFonts w:ascii="Helvetica" w:hAnsi="Helvetica"/>
          <w:b/>
          <w:color w:val="6B000C"/>
          <w:sz w:val="32"/>
        </w:rPr>
        <w:t>4.2 DCF Model — Three Scenarios</w:t>
      </w:r>
    </w:p>
    <w:p>
      <w:r>
        <w:rPr>
          <w:rFonts w:ascii="Helvetica" w:hAnsi="Helvetica"/>
          <w:color w:val="333333"/>
          <w:sz w:val="20"/>
        </w:rPr>
        <w:t>The DCF model uses a five-year explicit projection period with SCCO's FY2025 financial results as the base year (revenue: $13,420M). Terminal value is computed using two methods — the Gordon Growth (perpetuity) model at a terminal growth rate of 2.5%, and the exit EV/EBITDA multiple method at 8.0x — with the perpetuity method selected as the terminal value in this base case. Three scenarios — Bear, Base, and Bull — differ in their revenue growth and margin assumptions; all apply the same WACC of 10.40% and the same base WACC (TGR varies by ±0.5pp).</w:t>
      </w:r>
    </w:p>
    <w:p>
      <w:pPr>
        <w:pStyle w:val="Heading3"/>
      </w:pPr>
      <w:r>
        <w:rPr>
          <w:rFonts w:ascii="Helvetica" w:hAnsi="Helvetica"/>
          <w:b/>
          <w:color w:val="6B000C"/>
          <w:sz w:val="24"/>
        </w:rPr>
        <w:t>4.2.1 Key Assumptions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Assumption</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Bull</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Growth — Year 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Growth — Year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 (all years)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55.5%</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D&amp;A /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Effective Tax Rate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Growth Rate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Exit EV/EBITDA Multiple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WACC</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10.40%</w:t>
            </w:r>
          </w:p>
        </w:tc>
      </w:tr>
    </w:tbl>
    <w:p>
      <w:r>
        <w:rPr>
          <w:rFonts w:ascii="Helvetica" w:hAnsi="Helvetica"/>
          <w:color w:val="333333"/>
          <w:sz w:val="20"/>
        </w:rPr>
        <w:t>The base case revenue growth path anchors to the NTM analyst consensus of approximately $15.4B (implying roughly 14-15% one-year growth), then mean-reverts as copper prices normalise. Year 1 at 8.0% reflects continued copper price and volume support; growth declines to 3.0% by Year 5, consistent with long-run copper demand growth driven by electrification, offset by commodity price cyclicality. The EBITDA margin of 54.5% (base) is derived from an EBIT margin assumption of 48% (vs. FY2025 actual 52.2% — a peak-cycle year) plus D&amp;A of 6.5% of revenue. Using peak-cycle margins uncritically in a terminal-value context would overstate the sustainable earnings base.</w:t>
      </w:r>
    </w:p>
    <w:p>
      <w:r>
        <w:rPr>
          <w:rFonts w:ascii="Helvetica" w:hAnsi="Helvetica"/>
          <w:color w:val="333333"/>
          <w:sz w:val="20"/>
        </w:rPr>
        <w:t>The terminal growth rate of 2.5% represents a long-run nominal GDP growth rate for Peru and Mexico blended — broadly consistent with consensus long-run estimates for Andean and Mexican economies — and is at the midpoint of the 2.0%–3.0% range considered. The terminal value represents approximately 69% of total enterprise value in the base case. This is a high proportion but not unusual for a low-capital-turnover, long-life mining asset business. The implication is that the valuation is highly sensitive to the terminal assumptions: a 50 basis point change in the terminal growth rate produces a meaningful shift in the implied fair value, as shown in the sensitivity table in Section 4.3.</w:t>
      </w:r>
    </w:p>
    <w:p>
      <w:pPr>
        <w:pStyle w:val="Heading3"/>
      </w:pPr>
      <w:r>
        <w:rPr>
          <w:rFonts w:ascii="Helvetica" w:hAnsi="Helvetica"/>
          <w:b/>
          <w:color w:val="6B000C"/>
          <w:sz w:val="24"/>
        </w:rPr>
        <w:t>4.2.2 Base Case UFCF Projection</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p>
        </w:tc>
        <w:tc>
          <w:tcPr>
            <w:tcW w:type="dxa" w:w="1289"/>
            <w:shd w:fill="6b000c"/>
            <w:tcMar>
              <w:top w:w="40" w:type="dxa"/>
              <w:bottom w:w="40" w:type="dxa"/>
              <w:left w:w="80" w:type="dxa"/>
              <w:right w:w="80" w:type="dxa"/>
            </w:tcMar>
          </w:tcPr>
          <w:p>
            <w:pPr>
              <w:jc w:val="center"/>
            </w:pPr>
            <w:r/>
            <w:r>
              <w:rPr>
                <w:rFonts w:ascii="Helvetica" w:hAnsi="Helvetica"/>
                <w:b/>
                <w:color w:val="FFFFFF"/>
                <w:sz w:val="16"/>
              </w:rPr>
              <w:t>Base (FY2025)</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1</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2</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3</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4</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5</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14,494</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15,363</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15,978</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16,457</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16,951</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7,870</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7,899</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8,373</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8,708</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8,969</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9,238</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7,002</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6,957</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7,374</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7,669</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7,899</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8,136</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NOPAT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4,365</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4,627</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4,812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4,957</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5,106</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Unlevered FCF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3,925</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4,162</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4,330</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4,461</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4,595</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PV of UFCF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3,555</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3,415</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3,218</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3,003</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2,801</w:t>
            </w:r>
          </w:p>
        </w:tc>
      </w:tr>
    </w:tbl>
    <w:p>
      <w:pPr>
        <w:pStyle w:val="Heading3"/>
      </w:pPr>
      <w:r>
        <w:rPr>
          <w:rFonts w:ascii="Helvetica" w:hAnsi="Helvetica"/>
          <w:b/>
          <w:color w:val="6B000C"/>
          <w:sz w:val="24"/>
        </w:rPr>
        <w:t>4.2.3 Terminal Value &amp; Enterprise Value Bridge</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Sum of PV of UFCFs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15,992</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 Perpetuity Growth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59,595</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 Exit Multiple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73,905</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Selected Terminal Value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59,595</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PV of Terminal Value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36,335</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as % of Enterprise Value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Enterprise Value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52,326</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Less: Net Debt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2,446</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Less: Minority Interest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Equity Value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49,813</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Shares Outstanding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834</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DCF Fair Value / Share (Base)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$59.70</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Upside / Downside vs. Current Price ($181.78)</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-67.2%</w:t>
            </w:r>
          </w:p>
        </w:tc>
      </w:tr>
    </w:tbl>
    <w:p>
      <w:r>
        <w:rPr>
          <w:rFonts w:ascii="Helvetica" w:hAnsi="Helvetica"/>
          <w:color w:val="333333"/>
          <w:sz w:val="20"/>
        </w:rPr>
        <w:t>The perpetuity method produces a terminal value of $59,595M versus the exit multiple method's $73,905M — a larger divergence than is ideal, but both methods are directionally consistent and the perpetuity method is the conservative anchor. The gap reflects the difference between normalised UFCF-based perpetuity growth and a spot EBITDA exit multiple applied at a time when EBITDA margins are at peak-cycle levels. The resulting base case intrinsic value of $59.70 per share implies a downside of 67.2% to the current market price of $181.78.</w:t>
      </w:r>
    </w:p>
    <w:p>
      <w:r>
        <w:rPr>
          <w:rFonts w:ascii="Helvetica" w:hAnsi="Helvetica"/>
          <w:color w:val="333333"/>
          <w:sz w:val="20"/>
        </w:rPr>
        <w:t>---</w:t>
      </w:r>
    </w:p>
    <w:p>
      <w:pPr>
        <w:pStyle w:val="Heading2"/>
      </w:pPr>
      <w:r>
        <w:rPr>
          <w:rFonts w:ascii="Helvetica" w:hAnsi="Helvetica"/>
          <w:b/>
          <w:color w:val="6B000C"/>
          <w:sz w:val="32"/>
        </w:rPr>
        <w:t>4.3 WACC Sensitivity</w:t>
      </w:r>
    </w:p>
    <w:p>
      <w:r>
        <w:rPr>
          <w:rFonts w:ascii="Helvetica" w:hAnsi="Helvetica"/>
          <w:color w:val="333333"/>
          <w:sz w:val="20"/>
        </w:rPr>
        <w:t>The price target is sensitive to both WACC and the terminal growth rate. The base case sits at WACC = 10.40% and TGR = 2.5%, producing an implied fair value of $59.70 per share. The table below shows how the fair value changes across the full range of WACC and TGR combinations considered.</w:t>
      </w:r>
    </w:p>
    <w:p>
      <w:r>
        <w:rPr>
          <w:rFonts w:ascii="Helvetica" w:hAnsi="Helvetica"/>
          <w:b/>
          <w:color w:val="333333"/>
          <w:sz w:val="20"/>
        </w:rPr>
        <w:t>WACC × Terminal Growth Rate — DCF Fair Value / Share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TGR</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78.3</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10.4%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59.7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66.5</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61.8</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57.7</w:t>
            </w:r>
          </w:p>
        </w:tc>
      </w:tr>
    </w:tbl>
    <w:p>
      <w:r>
        <w:rPr>
          <w:rFonts w:ascii="Helvetica" w:hAnsi="Helvetica"/>
          <w:color w:val="333333"/>
          <w:sz w:val="20"/>
        </w:rPr>
        <w:t>The sensitivity table confirms that no combination of WACC and TGR within the grid produces a fair value close to the current market price of $181.78. Even at the most aggressive combination of the lowest WACC (9.4%) and the highest terminal growth rate (3.5%), the implied fair value is $78.3 — still 57% below the current price. To justify the current market price of $181.78, the implied assumptions would require a WACC well below 9% or a terminal growth rate well above 4.0%. A terminal growth rate of 4.0%+ would exceed the long-run nominal GDP of both Peru and Mexico, implying the market is pricing in perpetual real above-GDP growth — an assumption that is difficult to sustain analytically for a commodity producer in maturing operating geographies.</w:t>
      </w:r>
    </w:p>
    <w:p>
      <w:r>
        <w:rPr>
          <w:rFonts w:ascii="Helvetica" w:hAnsi="Helvetica"/>
          <w:color w:val="333333"/>
          <w:sz w:val="20"/>
        </w:rPr>
        <w:t>---</w:t>
      </w:r>
    </w:p>
    <w:p>
      <w:pPr>
        <w:pStyle w:val="Heading1"/>
      </w:pPr>
      <w:r>
        <w:rPr>
          <w:rFonts w:ascii="Helvetica" w:hAnsi="Helvetica"/>
          <w:b/>
          <w:color w:val="6B000C"/>
          <w:sz w:val="36"/>
        </w:rPr>
        <w:t>Section 5 — Financial Metrics &amp; Peer Benchmarking</w:t>
      </w:r>
    </w:p>
    <w:p>
      <w:r>
        <w:rPr>
          <w:rFonts w:ascii="Helvetica" w:hAnsi="Helvetica"/>
          <w:color w:val="333333"/>
          <w:sz w:val="20"/>
        </w:rPr>
        <w:t>---</w:t>
      </w:r>
    </w:p>
    <w:p>
      <w:pPr>
        <w:pStyle w:val="Heading2"/>
      </w:pPr>
      <w:r>
        <w:rPr>
          <w:rFonts w:ascii="Helvetica" w:hAnsi="Helvetica"/>
          <w:b/>
          <w:color w:val="6B000C"/>
          <w:sz w:val="32"/>
        </w:rPr>
        <w:t>5.1 Peer Selection</w:t>
      </w:r>
    </w:p>
    <w:p>
      <w:r>
        <w:rPr>
          <w:rFonts w:ascii="Helvetica" w:hAnsi="Helvetica"/>
          <w:color w:val="333333"/>
          <w:sz w:val="20"/>
        </w:rPr>
        <w:t>The peer group for SCCO consists of four copper-focused mining companies selected on the basis of primary commodity exposure, scale comparability, and operational overlap. The group is not perfect — no single peer replicates SCCO's combination of scale, margin structure, and geography — but collectively they provide a meaningful benchmark across profitability, returns, leverage, and valuation.</w:t>
      </w:r>
    </w:p>
    <w:p>
      <w:r>
        <w:rPr>
          <w:rFonts w:ascii="Helvetica" w:hAnsi="Helvetica"/>
          <w:color w:val="333333"/>
          <w:sz w:val="20"/>
        </w:rPr>
        <w:t>Freeport-McMoRan (FCX) is the most directly comparable peer: the world's largest publicly traded copper producer by volume, US-listed, US GAAP reporting, and with significant Latin American operations. FCX provides the most direct read-across on cost structure and valuation multiples, though its copper-gold-molybdenum mix and US operational base create some divergence from SCCO's higher-margin, pure-copper-and-by-product profile.</w:t>
      </w:r>
    </w:p>
    <w:p>
      <w:r>
        <w:rPr>
          <w:rFonts w:ascii="Helvetica" w:hAnsi="Helvetica"/>
          <w:color w:val="333333"/>
          <w:sz w:val="20"/>
        </w:rPr>
        <w:t>Teck Resources (TECK) is the second-largest peer by revenue and is a diversified Canadian miner with growing copper exposure following its 2024 coal asset divestiture. Teck reports under IFRS and files a 40-F. Its transition to a copper-focused company makes it directionally relevant, but IFRS reporting reduces the direct comparability of margins, particularly around asset capitalization and exploration expense treatment.</w:t>
      </w:r>
    </w:p>
    <w:p>
      <w:r>
        <w:rPr>
          <w:rFonts w:ascii="Helvetica" w:hAnsi="Helvetica"/>
          <w:color w:val="333333"/>
          <w:sz w:val="20"/>
        </w:rPr>
        <w:t>Hudbay Minerals (HBM) is a smaller copper producer with operations in Peru, Canada, and the United States. The Peru overlap is directly relevant to understanding SCCO's operating cost benchmarks. HBM reports under IFRS and files a 40-F. Its smaller scale means margin comparisons carry size-related caveats, but it offers one of the clearest operating-geography benchmarks in the peer group.</w:t>
      </w:r>
    </w:p>
    <w:p>
      <w:r>
        <w:rPr>
          <w:rFonts w:ascii="Helvetica" w:hAnsi="Helvetica"/>
          <w:color w:val="333333"/>
          <w:sz w:val="20"/>
        </w:rPr>
        <w:t>Capstone Copper (CMMC) is the smallest peer in the group by revenue, a Canadian-listed copper producer operating primarily in the Americas. It reports under IFRS and files via SEDAR. Its recent consolidation and capital spending cycle make leverage and FCF comparisons particularly instructive as a growth-capex reference.</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r>
              <w:rPr>
                <w:rFonts w:ascii="Helvetica" w:hAnsi="Helvetica"/>
                <w:b/>
                <w:color w:val="FFFFFF"/>
                <w:sz w:val="16"/>
              </w:rPr>
              <w:t>Peer</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Ticker</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Exchange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Filing Type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Accounting Standard</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Fiscal Year End</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Comparability Note</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Freeport-McMoRan Inc.</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FCX</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NYSE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GAAP</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Closest peer — large-cap copper, Latin American operations, direct GAAP comparability</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 Resources Limited</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TSX/NYSE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40-F</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IFRS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Post-coal divestiture; copper-focused transition; IFRS reduces margin comparability</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Hudbay Minerals Inc.</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HBM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TSX/NYSE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40-F</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IFRS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Peru operations overlap; smaller scale; IFRS reporting</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Capstone Copper Corp.</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CMMC</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TSX</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SEDAR Annual FS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IFRS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Americas-focused copper producer; higher-capex growth phase; IFRS reporting</w:t>
            </w:r>
          </w:p>
        </w:tc>
      </w:tr>
    </w:tbl>
    <w:p>
      <w:r>
        <w:rPr>
          <w:rFonts w:ascii="Helvetica" w:hAnsi="Helvetica"/>
          <w:color w:val="333333"/>
          <w:sz w:val="20"/>
        </w:rPr>
        <w:t>---</w:t>
      </w:r>
    </w:p>
    <w:p>
      <w:pPr>
        <w:pStyle w:val="Heading2"/>
      </w:pPr>
      <w:r>
        <w:rPr>
          <w:rFonts w:ascii="Helvetica" w:hAnsi="Helvetica"/>
          <w:b/>
          <w:color w:val="6B000C"/>
          <w:sz w:val="32"/>
        </w:rPr>
        <w:t>5.2 Profitability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SCCO</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ᶠ</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ᶠ</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25,915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7,699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2,360</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40.4%</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21.0%</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w:t>
            </w:r>
          </w:p>
        </w:tc>
      </w:tr>
    </w:tbl>
    <w:p>
      <w:r>
        <w:rPr>
          <w:rFonts w:ascii="Helvetica" w:hAnsi="Helvetica"/>
          <w:i/>
          <w:color w:val="333333"/>
          <w:sz w:val="20"/>
        </w:rPr>
        <w:t>Flag legend: ᶠ = IFRS-translated (directional only); ᵐ = market-sourced; ᶜ = computed from filing components.</w:t>
      </w:r>
    </w:p>
    <w:p>
      <w:pPr>
        <w:jc w:val="left"/>
      </w:pPr>
      <w:r>
        <w:rPr>
          <w:rFonts w:ascii="Helvetica" w:hAnsi="Helvetica"/>
          <w:i/>
          <w:color w:val="666666"/>
          <w:sz w:val="18"/>
        </w:rPr>
        <w:t>Source: SCCO (10-K, FY2025); Freeport-McMoRan (10-K, FY2025); Teck Resources (40-F, FY2025); Hudbay Minerals (40-F, FY2025); Capstone Copper (SEDAR Annual FS, FY2025).*</w:t>
      </w:r>
    </w:p>
    <w:p>
      <w:r>
        <w:rPr>
          <w:rFonts w:ascii="Helvetica" w:hAnsi="Helvetica"/>
          <w:b/>
          <w:color w:val="333333"/>
          <w:sz w:val="20"/>
        </w:rPr>
        <w:t>Historical: SCCO Own 5-Year Progression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60.1%</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r>
    </w:tbl>
    <w:p>
      <w:r>
        <w:rPr>
          <w:rFonts w:ascii="Helvetica" w:hAnsi="Helvetica"/>
          <w:color w:val="333333"/>
          <w:sz w:val="20"/>
        </w:rPr>
        <w:t>SCCO's margin profile is a structural outlier in the global copper mining industry. Its FY2025 EBITDA margin of 58.6% is more than 20 percentage points above FCX's 33.8% and more than 18 points above the next-best peer (HBM at 48.0%). This margin advantage is not cyclical — it has been persistent across the five-year history, ranging from 50.8% at the trough (FY2023) to 62.8% at the peak (FY2021). The structural drivers are SCCO's open-pit mine geometry at Cuajone and Toquepala, the very low strip ratios relative to peers, access to by-product credits (molybdenum, silver), and a labour cost base denominated in Peruvian and Mexican currency that benefits from dollar-denominated copper revenues.</w:t>
      </w:r>
    </w:p>
    <w:p>
      <w:r>
        <w:rPr>
          <w:rFonts w:ascii="Helvetica" w:hAnsi="Helvetica"/>
          <w:color w:val="333333"/>
          <w:sz w:val="20"/>
        </w:rPr>
        <w:t>Two comparability caveats apply to the peer margins. First, three of four peers (TECK, HBM, CMMC) report under IFRS, which can treat exploration expenses and deferred development costs differently than US GAAP, leading to modestly different gross and EBIT margins. Second, SCCO's non-GAAP cash cost metric — which management reports as approximately $1.07/lb for FY2025 — excludes workers' participation (Mexican and Peruvian profit-sharing), royalties, and exploration. Peer comparisons of EBITDA margin do not require restating for this, but readers should be aware that SCCO's apparent gross margin leads are partially attributable to its unique cost-exclusion convention in management reporting, not reflected in the GAAP margins above.</w:t>
      </w:r>
    </w:p>
    <w:p>
      <w:r>
        <w:rPr>
          <w:rFonts w:ascii="Helvetica" w:hAnsi="Helvetica"/>
          <w:color w:val="333333"/>
          <w:sz w:val="20"/>
        </w:rPr>
        <w:t>---</w:t>
      </w:r>
    </w:p>
    <w:p>
      <w:pPr>
        <w:pStyle w:val="Heading2"/>
      </w:pPr>
      <w:r>
        <w:rPr>
          <w:rFonts w:ascii="Helvetica" w:hAnsi="Helvetica"/>
          <w:b/>
          <w:color w:val="6B000C"/>
          <w:sz w:val="32"/>
        </w:rPr>
        <w:t>5.3 Returns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SCCO</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ᶠ</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ᶠ</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Asset Turnover</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0.63x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0.24x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0.36x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0.33x</w:t>
            </w:r>
          </w:p>
        </w:tc>
      </w:tr>
    </w:tbl>
    <w:p>
      <w:r>
        <w:rPr>
          <w:rFonts w:ascii="Helvetica" w:hAnsi="Helvetica"/>
          <w:b/>
          <w:color w:val="333333"/>
          <w:sz w:val="20"/>
        </w:rPr>
        <w:t>Historical: SCCO Own 5-Year Progression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34.9%</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21.6%</w:t>
            </w:r>
          </w:p>
        </w:tc>
      </w:tr>
    </w:tbl>
    <w:p>
      <w:r>
        <w:rPr>
          <w:rFonts w:ascii="Helvetica" w:hAnsi="Helvetica"/>
          <w:color w:val="333333"/>
          <w:sz w:val="20"/>
        </w:rPr>
        <w:t>SCCO's return profile is exceptional relative to peers and has strengthened over the five-year period. ROIC of 34.9% in FY2025 is roughly double FCX's 17.3% and more than five times TECK's post-restructuring 6.1%. Critically, SCCO's ROIC of 34.9% is more than three times its WACC of 10.41%, meaning the company creates meaningful economic value on every dollar of incremental invested capital. This spread between ROIC and WACC is one of the defining characteristics of its premium franchise — and it is persistent, not a single-year aberration.</w:t>
      </w:r>
    </w:p>
    <w:p>
      <w:r>
        <w:rPr>
          <w:rFonts w:ascii="Helvetica" w:hAnsi="Helvetica"/>
          <w:color w:val="333333"/>
          <w:sz w:val="20"/>
        </w:rPr>
        <w:t>The ROIC advantage is driven by the same structural factors that support the margin advantage: high-grade open-pit mines with long reserve lives, low sustaining capex requirements relative to earnings, and limited requirement for large balance sheet assets to generate revenue. Asset turnover of 0.63x is the highest in the peer group, reflecting lean asset intensity relative to the revenue base. The key risk to the ROIC premium is the elevated growth capex programme — as Tia Maria construction advances and other expansion projects ramp, the invested capital base will increase, and ROIC should be expected to moderate from its current peak unless new mine capacity comes online at margins similar to the existing asset base.</w:t>
      </w:r>
    </w:p>
    <w:p>
      <w:r>
        <w:rPr>
          <w:rFonts w:ascii="Helvetica" w:hAnsi="Helvetica"/>
          <w:color w:val="333333"/>
          <w:sz w:val="20"/>
        </w:rPr>
        <w:t>---</w:t>
      </w:r>
    </w:p>
    <w:p>
      <w:pPr>
        <w:pStyle w:val="Heading2"/>
      </w:pPr>
      <w:r>
        <w:rPr>
          <w:rFonts w:ascii="Helvetica" w:hAnsi="Helvetica"/>
          <w:b/>
          <w:color w:val="6B000C"/>
          <w:sz w:val="32"/>
        </w:rPr>
        <w:t>5.4 Leverage &amp; Liquidity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SCCO</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ᶠ</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ᶠ</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0.7x</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 Equity</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Coverage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9.2x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4.8x</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Ratio</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w:t>
            </w:r>
          </w:p>
        </w:tc>
      </w:tr>
    </w:tbl>
    <w:p>
      <w:r>
        <w:rPr>
          <w:rFonts w:ascii="Helvetica" w:hAnsi="Helvetica"/>
          <w:i/>
          <w:color w:val="333333"/>
          <w:sz w:val="20"/>
        </w:rPr>
        <w:t>Note: SCCO own Debt/Equity, Interest Coverage, and Current Ratio figures were not loaded in this data pack. Net Debt/EBITDA = 0.3x; Total Debt = $6,750.7M; Net Debt = $2,446.1M.</w:t>
      </w:r>
    </w:p>
    <w:p>
      <w:r>
        <w:rPr>
          <w:rFonts w:ascii="Helvetica" w:hAnsi="Helvetica"/>
          <w:color w:val="333333"/>
          <w:sz w:val="20"/>
        </w:rPr>
        <w:t>SCCO is the most conservatively leveraged company in the peer group on a net debt basis. Net Debt/EBITDA of 0.3x represents a minimal financial burden for a business generating $7.9 billion of annual EBITDA. The company's $6.75 billion total debt load is largely composed of long-dated Yankee bonds — the nearest material maturity is the 2028 tranche, providing comfortable runway before any refinancing pressure. The only leverage caution flag identified in the forensic review is the near-tripling of related-party payables to approximately $138.4M in FY2025, concentrated in Asarco LLC and Grupo Mexico affiliates. These are not on-balance-sheet debt obligations, but they represent cash demands that are not fully transparent in isolation.</w:t>
      </w:r>
    </w:p>
    <w:p>
      <w:r>
        <w:rPr>
          <w:rFonts w:ascii="Helvetica" w:hAnsi="Helvetica"/>
          <w:color w:val="333333"/>
          <w:sz w:val="20"/>
        </w:rPr>
        <w:t>SCCO's FCF margin of 25.5% is the highest in the peer group by a substantial margin. TECK generated negative FCF in FY2025 reflecting its active capital spending programme; HBM and CMMC are also in capital-heavy phases with FCF margins well below SCCO. SCCO's ability to generate $3.4 billion of FCF while simultaneously running an elevated capex programme ($1.3 billion in FY2025) demonstrates the cash generative capacity of the underlying asset base.</w:t>
      </w:r>
    </w:p>
    <w:p>
      <w:r>
        <w:rPr>
          <w:rFonts w:ascii="Helvetica" w:hAnsi="Helvetica"/>
          <w:color w:val="333333"/>
          <w:sz w:val="20"/>
        </w:rPr>
        <w:t>---</w:t>
      </w:r>
    </w:p>
    <w:p>
      <w:pPr>
        <w:pStyle w:val="Heading2"/>
      </w:pPr>
      <w:r>
        <w:rPr>
          <w:rFonts w:ascii="Helvetica" w:hAnsi="Helvetica"/>
          <w:b/>
          <w:color w:val="6B000C"/>
          <w:sz w:val="32"/>
        </w:rPr>
        <w:t>5.5 Valuation Multiples Comparison</w:t>
      </w:r>
    </w:p>
    <w:p>
      <w:r>
        <w:rPr>
          <w:rFonts w:ascii="Helvetica" w:hAnsi="Helvetica"/>
          <w:b/>
          <w:color w:val="333333"/>
          <w:sz w:val="20"/>
        </w:rPr>
        <w:t>Comparative: Current Price ($181.78)</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SCCO</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 ᵐ</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ᵐ</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ᵐ</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ᵐ</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21.5x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12.1x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11.2x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8.2x</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38.4x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20.1x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22.4x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w:t>
            </w:r>
          </w:p>
        </w:tc>
      </w:tr>
    </w:tbl>
    <w:p>
      <w:r>
        <w:rPr>
          <w:rFonts w:ascii="Helvetica" w:hAnsi="Helvetica"/>
          <w:i/>
          <w:color w:val="333333"/>
          <w:sz w:val="20"/>
        </w:rPr>
        <w:t>All peer valuation multiples are market-sourced. Subject to change with price movements.</w:t>
      </w:r>
    </w:p>
    <w:p>
      <w:r>
        <w:rPr>
          <w:rFonts w:ascii="Helvetica" w:hAnsi="Helvetica"/>
          <w:b/>
          <w:color w:val="333333"/>
          <w:sz w:val="20"/>
        </w:rPr>
        <w:t>Historical: SCCO EV/EBITDA (period-end price)</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bl>
    <w:p>
      <w:r>
        <w:rPr>
          <w:rFonts w:ascii="Helvetica" w:hAnsi="Helvetica"/>
          <w:i/>
          <w:color w:val="333333"/>
          <w:sz w:val="20"/>
        </w:rPr>
        <w:t>Note: Historical EV/EBITDA at period-end prices was not loaded (no historical price data in the Market sheet at time of report generation).</w:t>
      </w:r>
    </w:p>
    <w:p>
      <w:r>
        <w:rPr>
          <w:rFonts w:ascii="Helvetica" w:hAnsi="Helvetica"/>
          <w:color w:val="333333"/>
          <w:sz w:val="20"/>
        </w:rPr>
        <w:t>SCCO's EV/EBITDA multiple of 21.5x represents a premium of approximately 78% to FCX (12.1x), 63% to TECK (13.2x), and 162% to CMMC (8.2x). This is a very large premium, and it must be justified. The partial justification is legitimate: SCCO's EBITDA margins are 25 percentage points above the peer average, its ROIC is double FCX's and more than five times TECK's, and its free cash flow yield at 2.1% is in line with peers despite running at a much higher absolute multiple. The premium could also reflect index inclusion effects, the company's history of large and variable dividends, and concentrated ownership dynamics under Grupo Mexico's 88.9% control float.</w:t>
      </w:r>
    </w:p>
    <w:p>
      <w:r>
        <w:rPr>
          <w:rFonts w:ascii="Helvetica" w:hAnsi="Helvetica"/>
          <w:color w:val="333333"/>
          <w:sz w:val="20"/>
        </w:rPr>
        <w:t>However, the premium is difficult to sustain on intrinsic value grounds at current copper prices. At the valuation model's WACC of 10.41%, the DCF fair value for the base case is $73.68 — less than half the current market price. The multiples-based analysis tells the same story: the target EV/EBITDA multiple in the valuation model is 8.0x (exit multiple), implying an implied price of $8.13 per share in the multiple-based method — a figure that should be read as a relative-multiple check rather than a standalone target, given the denominator-level issues in the Valuation sheet noted in Section 4.</w:t>
      </w:r>
    </w:p>
    <w:p>
      <w:r>
        <w:rPr>
          <w:rFonts w:ascii="Helvetica" w:hAnsi="Helvetica"/>
          <w:color w:val="333333"/>
          <w:sz w:val="20"/>
        </w:rPr>
        <w:t>---</w:t>
      </w:r>
    </w:p>
    <w:p>
      <w:pPr>
        <w:pStyle w:val="Heading2"/>
      </w:pPr>
      <w:r>
        <w:rPr>
          <w:rFonts w:ascii="Helvetica" w:hAnsi="Helvetica"/>
          <w:b/>
          <w:color w:val="6B000C"/>
          <w:sz w:val="32"/>
        </w:rPr>
        <w:t>5.6 Efficiency Comparison</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SCCO</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Freeport-McMoRan</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Teck Resources ᶠ</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Hudbay Minerals ᶠ</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Sales Outstanding</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 days</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 days</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 days</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 days</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Inventory Outstanding</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 days</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147 days</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 days</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 days</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Payables Outstanding</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 days</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 days</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 days</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 days</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Conversion Cycle</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 days</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 days</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 days</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 days</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17.3%</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19.2%</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21.1%</w:t>
            </w:r>
          </w:p>
        </w:tc>
      </w:tr>
    </w:tbl>
    <w:p>
      <w:r>
        <w:rPr>
          <w:rFonts w:ascii="Helvetica" w:hAnsi="Helvetica"/>
          <w:color w:val="333333"/>
          <w:sz w:val="20"/>
        </w:rPr>
        <w:t>SCCO's CapEx/Revenue of 9.9% is the lowest in the peer group by a meaningful margin. FCX runs at 17.3%, TECK at 19.2%, and HBM at 21.1%. This reflects SCCO's mature, largely-built asset base and the relatively low sustaining capital requirements of its open-pit operations. The caveat is that FY2025 represents a period before the full ramp-up of Tia Maria construction capex, which will increase the ratio materially in FY2026 and FY2027 per management guidance.</w:t>
      </w:r>
    </w:p>
    <w:p>
      <w:r>
        <w:rPr>
          <w:rFonts w:ascii="Helvetica" w:hAnsi="Helvetica"/>
          <w:color w:val="333333"/>
          <w:sz w:val="20"/>
        </w:rPr>
        <w:t>The cash conversion cycle of 64 days is higher than FCX's 91-day figure suggests at face value — the difference is largely driven by SCCO's shorter DSO (43 days vs. FCX's 14 days), which reflects SCCO's concentration of copper sales to a relatively small number of large industrial customers on short payment terms. SCCO's DSO of 43 days also reflects the provisional pricing exposure at year-end — $237M of copper at ~$4.78/lb was open at December 31, 2025, to be settled in H1 2026. Once those concentrate shipments are invoiced and collected, the effective DSO would fall closer to its underlying level.</w:t>
      </w:r>
    </w:p>
    <w:p>
      <w:r>
        <w:rPr>
          <w:rFonts w:ascii="Helvetica" w:hAnsi="Helvetica"/>
          <w:color w:val="333333"/>
          <w:sz w:val="20"/>
        </w:rPr>
        <w:t>Inventory days of 72 days is lower than FCX's 147 days and TECK's 124 days, consistent with SCCO's relatively efficient concentrate-to-shipment cycle and the fact that it does not carry as much in-process smelter inventory as FCX. The DIO figure does include leach pad inventory, which carries a valuation risk flagged in the forensic review (leach pad inventory is SCCO's sole Critical Audit Matter at approximately $400M+).</w:t>
      </w:r>
    </w:p>
    <w:p>
      <w:r>
        <w:rPr>
          <w:rFonts w:ascii="Helvetica" w:hAnsi="Helvetica"/>
          <w:color w:val="333333"/>
          <w:sz w:val="20"/>
        </w:rPr>
        <w:t>---</w:t>
      </w:r>
    </w:p>
    <w:p>
      <w:pPr>
        <w:pStyle w:val="Heading2"/>
      </w:pPr>
      <w:r>
        <w:rPr>
          <w:rFonts w:ascii="Helvetica" w:hAnsi="Helvetica"/>
          <w:b/>
          <w:color w:val="6B000C"/>
          <w:sz w:val="32"/>
        </w:rPr>
        <w:t>5.7 Comparability Caveats</w:t>
      </w:r>
    </w:p>
    <w:p>
      <w:r>
        <w:rPr>
          <w:rFonts w:ascii="Helvetica" w:hAnsi="Helvetica"/>
          <w:b/>
          <w:color w:val="333333"/>
          <w:sz w:val="20"/>
        </w:rPr>
        <w:t>IFRS vs US GAAP — Three of four peers:</w:t>
      </w:r>
      <w:r>
        <w:rPr>
          <w:rFonts w:ascii="Helvetica" w:hAnsi="Helvetica"/>
          <w:color w:val="333333"/>
          <w:sz w:val="20"/>
        </w:rPr>
        <w:t xml:space="preserve"> TECK, HBM, and CMMC report under IFRS, which differs from US GAAP in several material ways for mining companies. Under IFRS, exploration and evaluation expenditure may be capitalised at an earlier stage than under US GAAP; stripping costs can be treated differently; and lease obligations are presented differently on the balance sheet. These differences affect gross margin, EBIT margin, and asset turnover comparisons. All IFRS-peer figures in this section should be treated as directional indicators, not precise equivalents. The GAAP-only comparison (SCCO vs. FCX) provides the most direct like-for-like read.</w:t>
      </w:r>
    </w:p>
    <w:p>
      <w:r>
        <w:rPr>
          <w:rFonts w:ascii="Helvetica" w:hAnsi="Helvetica"/>
          <w:b/>
          <w:color w:val="333333"/>
          <w:sz w:val="20"/>
        </w:rPr>
        <w:t>Workers' participation — SCCO only:</w:t>
      </w:r>
      <w:r>
        <w:rPr>
          <w:rFonts w:ascii="Helvetica" w:hAnsi="Helvetica"/>
          <w:color w:val="333333"/>
          <w:sz w:val="20"/>
        </w:rPr>
        <w:t xml:space="preserve"> SCCO accrues Mexican statutory workers' participation (PTU) and Peruvian workers' participation as a labour expense. This charge, which can exceed $200M annually in high-profit years, is included in SCCO's cost of sales and operating expenses. Most peers do not have an equivalent mechanism. This partially suppresses SCCO's EBIT margin relative to peers in a like-for-like commodity price environment, meaning the margin advantage reported above is if anything conservative.</w:t>
      </w:r>
    </w:p>
    <w:p>
      <w:r>
        <w:rPr>
          <w:rFonts w:ascii="Helvetica" w:hAnsi="Helvetica"/>
          <w:b/>
          <w:color w:val="333333"/>
          <w:sz w:val="20"/>
        </w:rPr>
        <w:t>Non-GAAP cash cost — SCCO management metric:</w:t>
      </w:r>
      <w:r>
        <w:rPr>
          <w:rFonts w:ascii="Helvetica" w:hAnsi="Helvetica"/>
          <w:color w:val="333333"/>
          <w:sz w:val="20"/>
        </w:rPr>
        <w:t xml:space="preserve"> SCCO's management-reported cash cost per pound of copper (approximately $1.07/lb in FY2025) excludes workers' participation, royalties, and exploration. This makes the reported cash cost look lower than a GAAP-equivalent definition. Readers comparing SCCO's management cash cost disclosure to peers should be aware that this exclusion is not universal across the peer group and overstates SCCO's apparent cost advantage relative to what GAAP margins would imply.</w:t>
      </w:r>
    </w:p>
    <w:p>
      <w:r>
        <w:rPr>
          <w:rFonts w:ascii="Helvetica" w:hAnsi="Helvetica"/>
          <w:b/>
          <w:color w:val="333333"/>
          <w:sz w:val="20"/>
        </w:rPr>
        <w:t>Capstone Copper (CMMC) — post-merger transitional:</w:t>
      </w:r>
      <w:r>
        <w:rPr>
          <w:rFonts w:ascii="Helvetica" w:hAnsi="Helvetica"/>
          <w:color w:val="333333"/>
          <w:sz w:val="20"/>
        </w:rPr>
        <w:t xml:space="preserve"> Capstone Copper was formed from the merger of Copper Mountain Mining and Capstone Mining in 2023. The FY2025 financial statements reflect a full year of the combined entity but still carry integration-period accounting effects on depreciation and amortisation. Margin and return comparisons for CMMC should be treated with additional caution.</w:t>
      </w:r>
    </w:p>
    <w:p>
      <w:r>
        <w:rPr>
          <w:rFonts w:ascii="Helvetica" w:hAnsi="Helvetica"/>
          <w:b/>
          <w:color w:val="333333"/>
          <w:sz w:val="20"/>
        </w:rPr>
        <w:t>Provisional pricing — revenue quality:</w:t>
      </w:r>
      <w:r>
        <w:rPr>
          <w:rFonts w:ascii="Helvetica" w:hAnsi="Helvetica"/>
          <w:color w:val="333333"/>
          <w:sz w:val="20"/>
        </w:rPr>
        <w:t xml:space="preserve"> SCCO's revenue in FY2025 includes provisional pricing on concentrate shipments. The company had approximately 237M lbs of copper exposure open at December 31, 2025, to be settled in H1 2026. A $0.10/lb move in the copper price affects realised revenue by approximately $23.7M on the open position. This is not relevant to the margin comparison per se, but it means FY2025 reported revenue is not the same as fully-settled revenue.</w:t>
      </w:r>
    </w:p>
    <w:p>
      <w:r>
        <w:rPr>
          <w:rFonts w:ascii="Helvetica" w:hAnsi="Helvetica"/>
          <w:color w:val="333333"/>
          <w:sz w:val="20"/>
        </w:rPr>
        <w:t>---</w:t>
      </w:r>
    </w:p>
    <w:p>
      <w:pPr>
        <w:jc w:val="center"/>
      </w:pPr>
      <w:r>
        <w:drawing>
          <wp:inline xmlns:a="http://schemas.openxmlformats.org/drawingml/2006/main" xmlns:pic="http://schemas.openxmlformats.org/drawingml/2006/picture">
            <wp:extent cx="5715000" cy="2880137"/>
            <wp:docPr id="6" name="Picture 6"/>
            <wp:cNvGraphicFramePr>
              <a:graphicFrameLocks noChangeAspect="1"/>
            </wp:cNvGraphicFramePr>
            <a:graphic>
              <a:graphicData uri="http://schemas.openxmlformats.org/drawingml/2006/picture">
                <pic:pic>
                  <pic:nvPicPr>
                    <pic:cNvPr id="0" name="Figure_5_1_Revenue_OpIncome.png"/>
                    <pic:cNvPicPr/>
                  </pic:nvPicPr>
                  <pic:blipFill>
                    <a:blip r:embed="rId14"/>
                    <a:stretch>
                      <a:fillRect/>
                    </a:stretch>
                  </pic:blipFill>
                  <pic:spPr>
                    <a:xfrm>
                      <a:off x="0" y="0"/>
                      <a:ext cx="5715000" cy="2880137"/>
                    </a:xfrm>
                    <a:prstGeom prst="rect"/>
                  </pic:spPr>
                </pic:pic>
              </a:graphicData>
            </a:graphic>
          </wp:inline>
        </w:drawing>
      </w:r>
    </w:p>
    <w:p>
      <w:pPr>
        <w:jc w:val="center"/>
      </w:pPr>
      <w:r>
        <w:drawing>
          <wp:inline xmlns:a="http://schemas.openxmlformats.org/drawingml/2006/main" xmlns:pic="http://schemas.openxmlformats.org/drawingml/2006/picture">
            <wp:extent cx="5715000" cy="3178416"/>
            <wp:docPr id="7" name="Picture 7"/>
            <wp:cNvGraphicFramePr>
              <a:graphicFrameLocks noChangeAspect="1"/>
            </wp:cNvGraphicFramePr>
            <a:graphic>
              <a:graphicData uri="http://schemas.openxmlformats.org/drawingml/2006/picture">
                <pic:pic>
                  <pic:nvPicPr>
                    <pic:cNvPr id="0" name="Figure_5_2_Operating_Margin.png"/>
                    <pic:cNvPicPr/>
                  </pic:nvPicPr>
                  <pic:blipFill>
                    <a:blip r:embed="rId15"/>
                    <a:stretch>
                      <a:fillRect/>
                    </a:stretch>
                  </pic:blipFill>
                  <pic:spPr>
                    <a:xfrm>
                      <a:off x="0" y="0"/>
                      <a:ext cx="5715000" cy="3178416"/>
                    </a:xfrm>
                    <a:prstGeom prst="rect"/>
                  </pic:spPr>
                </pic:pic>
              </a:graphicData>
            </a:graphic>
          </wp:inline>
        </w:drawing>
      </w:r>
    </w:p>
    <w:p>
      <w:pPr>
        <w:jc w:val="center"/>
      </w:pPr>
      <w:r>
        <w:drawing>
          <wp:inline xmlns:a="http://schemas.openxmlformats.org/drawingml/2006/main" xmlns:pic="http://schemas.openxmlformats.org/drawingml/2006/picture">
            <wp:extent cx="5715000" cy="2887175"/>
            <wp:docPr id="8" name="Picture 8"/>
            <wp:cNvGraphicFramePr>
              <a:graphicFrameLocks noChangeAspect="1"/>
            </wp:cNvGraphicFramePr>
            <a:graphic>
              <a:graphicData uri="http://schemas.openxmlformats.org/drawingml/2006/picture">
                <pic:pic>
                  <pic:nvPicPr>
                    <pic:cNvPr id="0" name="Figure_5_3_EPS.png"/>
                    <pic:cNvPicPr/>
                  </pic:nvPicPr>
                  <pic:blipFill>
                    <a:blip r:embed="rId16"/>
                    <a:stretch>
                      <a:fillRect/>
                    </a:stretch>
                  </pic:blipFill>
                  <pic:spPr>
                    <a:xfrm>
                      <a:off x="0" y="0"/>
                      <a:ext cx="5715000" cy="2887175"/>
                    </a:xfrm>
                    <a:prstGeom prst="rect"/>
                  </pic:spPr>
                </pic:pic>
              </a:graphicData>
            </a:graphic>
          </wp:inline>
        </w:drawing>
      </w:r>
    </w:p>
    <w:p>
      <w:pPr>
        <w:jc w:val="center"/>
      </w:pPr>
      <w:r>
        <w:drawing>
          <wp:inline xmlns:a="http://schemas.openxmlformats.org/drawingml/2006/main" xmlns:pic="http://schemas.openxmlformats.org/drawingml/2006/picture">
            <wp:extent cx="5715000" cy="2887175"/>
            <wp:docPr id="9" name="Picture 9"/>
            <wp:cNvGraphicFramePr>
              <a:graphicFrameLocks noChangeAspect="1"/>
            </wp:cNvGraphicFramePr>
            <a:graphic>
              <a:graphicData uri="http://schemas.openxmlformats.org/drawingml/2006/picture">
                <pic:pic>
                  <pic:nvPicPr>
                    <pic:cNvPr id="0" name="Figure_5_4_FCF_NI.png"/>
                    <pic:cNvPicPr/>
                  </pic:nvPicPr>
                  <pic:blipFill>
                    <a:blip r:embed="rId17"/>
                    <a:stretch>
                      <a:fillRect/>
                    </a:stretch>
                  </pic:blipFill>
                  <pic:spPr>
                    <a:xfrm>
                      <a:off x="0" y="0"/>
                      <a:ext cx="5715000" cy="2887175"/>
                    </a:xfrm>
                    <a:prstGeom prst="rect"/>
                  </pic:spPr>
                </pic:pic>
              </a:graphicData>
            </a:graphic>
          </wp:inline>
        </w:drawing>
      </w:r>
    </w:p>
    <w:p>
      <w:pPr>
        <w:jc w:val="center"/>
      </w:pPr>
      <w:r>
        <w:drawing>
          <wp:inline xmlns:a="http://schemas.openxmlformats.org/drawingml/2006/main" xmlns:pic="http://schemas.openxmlformats.org/drawingml/2006/picture">
            <wp:extent cx="5715000" cy="2881893"/>
            <wp:docPr id="10" name="Picture 10"/>
            <wp:cNvGraphicFramePr>
              <a:graphicFrameLocks noChangeAspect="1"/>
            </wp:cNvGraphicFramePr>
            <a:graphic>
              <a:graphicData uri="http://schemas.openxmlformats.org/drawingml/2006/picture">
                <pic:pic>
                  <pic:nvPicPr>
                    <pic:cNvPr id="0" name="Figure_5_5_Capital_Returns.png"/>
                    <pic:cNvPicPr/>
                  </pic:nvPicPr>
                  <pic:blipFill>
                    <a:blip r:embed="rId18"/>
                    <a:stretch>
                      <a:fillRect/>
                    </a:stretch>
                  </pic:blipFill>
                  <pic:spPr>
                    <a:xfrm>
                      <a:off x="0" y="0"/>
                      <a:ext cx="5715000" cy="2881893"/>
                    </a:xfrm>
                    <a:prstGeom prst="rect"/>
                  </pic:spPr>
                </pic:pic>
              </a:graphicData>
            </a:graphic>
          </wp:inline>
        </w:drawing>
      </w:r>
    </w:p>
    <w:p>
      <w:pPr>
        <w:jc w:val="center"/>
      </w:pPr>
      <w:r>
        <w:drawing>
          <wp:inline xmlns:a="http://schemas.openxmlformats.org/drawingml/2006/main" xmlns:pic="http://schemas.openxmlformats.org/drawingml/2006/picture">
            <wp:extent cx="5715000" cy="2881893"/>
            <wp:docPr id="11" name="Picture 11"/>
            <wp:cNvGraphicFramePr>
              <a:graphicFrameLocks noChangeAspect="1"/>
            </wp:cNvGraphicFramePr>
            <a:graphic>
              <a:graphicData uri="http://schemas.openxmlformats.org/drawingml/2006/picture">
                <pic:pic>
                  <pic:nvPicPr>
                    <pic:cNvPr id="0" name="Figure_5_6_Debt_Leverage.png"/>
                    <pic:cNvPicPr/>
                  </pic:nvPicPr>
                  <pic:blipFill>
                    <a:blip r:embed="rId19"/>
                    <a:stretch>
                      <a:fillRect/>
                    </a:stretch>
                  </pic:blipFill>
                  <pic:spPr>
                    <a:xfrm>
                      <a:off x="0" y="0"/>
                      <a:ext cx="5715000" cy="2881893"/>
                    </a:xfrm>
                    <a:prstGeom prst="rect"/>
                  </pic:spPr>
                </pic:pic>
              </a:graphicData>
            </a:graphic>
          </wp:inline>
        </w:drawing>
      </w:r>
    </w:p>
    <w:p>
      <w:pPr>
        <w:pStyle w:val="Heading1"/>
      </w:pPr>
      <w:r>
        <w:rPr>
          <w:rFonts w:ascii="Helvetica" w:hAnsi="Helvetica"/>
          <w:b/>
          <w:color w:val="6B000C"/>
          <w:sz w:val="36"/>
        </w:rPr>
        <w:t>Section 6 — Valuation &amp; Price Target</w:t>
      </w:r>
    </w:p>
    <w:p>
      <w:r>
        <w:rPr>
          <w:rFonts w:ascii="Helvetica" w:hAnsi="Helvetica"/>
          <w:color w:val="333333"/>
          <w:sz w:val="20"/>
        </w:rPr>
        <w:t>---</w:t>
      </w:r>
    </w:p>
    <w:p>
      <w:pPr>
        <w:pStyle w:val="Heading2"/>
      </w:pPr>
      <w:r>
        <w:rPr>
          <w:rFonts w:ascii="Helvetica" w:hAnsi="Helvetica"/>
          <w:b/>
          <w:color w:val="6B000C"/>
          <w:sz w:val="32"/>
        </w:rPr>
        <w:t>6.1 Valuation Framework</w:t>
      </w:r>
    </w:p>
    <w:p>
      <w:r>
        <w:rPr>
          <w:rFonts w:ascii="Helvetica" w:hAnsi="Helvetica"/>
          <w:color w:val="333333"/>
          <w:sz w:val="20"/>
        </w:rPr>
        <w:t>The composite fair value is derived from four methods, each capturing a distinct dimension of value. No single method is conclusive in isolation for a copper mining business, given the commodity price dependency and the consequent lumpiness of earnings. The weights reflect the relative reliability and relevance of each method given SCCO's business characteristics.</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Weight</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Rationale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DCF (3 scenarios)</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Intrinsic value anchor; captures long-term cash generation across the copper price cycle; most sensitive to assumptions but provides the most theoretically grounded estimate for a long-life asset base</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Relative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Earnings-based; links to sector pricing and anchors the composite to observable market multiples; less useful for SCCO in absolute terms given its workers' participation mechanism, but provides directional cross-check</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Relative</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Capital-structure-neutral; the standard sector multiple for commodity producers; best for cross-peer comparison given its immunity to financing differences and non-cash accounting charges</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generation quality check; at 10% weight it ensures the composite is not disconnected from actual cash flow capacity; also provides a return-of-capital discipline test</w:t>
            </w:r>
          </w:p>
        </w:tc>
      </w:tr>
    </w:tbl>
    <w:p>
      <w:r>
        <w:rPr>
          <w:rFonts w:ascii="Helvetica" w:hAnsi="Helvetica"/>
          <w:color w:val="333333"/>
          <w:sz w:val="20"/>
        </w:rPr>
        <w:t>The DCF is weighted highest because SCCO's long-life asset base (30+ years of reserve life at major operations), low sustaining capital intensity, and stable production profile make the discounted cash flow approach more predictive than for shorter-cycle businesses. EV/EBITDA receives meaningful weight as the sector convention for commodity producers. The FCF yield receives a lower weight because its implied price is more sensitive to near-term capex assumptions, which will spike materially in FY2026 as Tia Maria construction escalates.</w:t>
      </w:r>
    </w:p>
    <w:p>
      <w:r>
        <w:rPr>
          <w:rFonts w:ascii="Helvetica" w:hAnsi="Helvetica"/>
          <w:color w:val="333333"/>
          <w:sz w:val="20"/>
        </w:rPr>
        <w:t>---</w:t>
      </w:r>
    </w:p>
    <w:p>
      <w:pPr>
        <w:pStyle w:val="Heading2"/>
      </w:pPr>
      <w:r>
        <w:rPr>
          <w:rFonts w:ascii="Helvetica" w:hAnsi="Helvetica"/>
          <w:b/>
          <w:color w:val="6B000C"/>
          <w:sz w:val="32"/>
        </w:rPr>
        <w:t>6.2 DCF Results Summary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Scenario</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Fair Value / Share</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Upside / Downside vs. Current Price ($181.78)</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Bear</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$50.89</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-72.0%</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$59.70</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-67.2%</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Bull</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$70.21</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-61.4%</w:t>
            </w:r>
          </w:p>
        </w:tc>
      </w:tr>
    </w:tbl>
    <w:p>
      <w:r>
        <w:rPr>
          <w:rFonts w:ascii="Helvetica" w:hAnsi="Helvetica"/>
          <w:color w:val="333333"/>
          <w:sz w:val="20"/>
        </w:rPr>
        <w:t>The DCF range of $50.89–$70.21 is entirely below the current market price of $181.78. Even the bull case fair value implies a downside of 61% from the current price. The base case of $59.70 per share implies a downside of 67.2%.</w:t>
      </w:r>
    </w:p>
    <w:p>
      <w:r>
        <w:rPr>
          <w:rFonts w:ascii="Helvetica" w:hAnsi="Helvetica"/>
          <w:color w:val="333333"/>
          <w:sz w:val="20"/>
        </w:rPr>
        <w:t>Critically, the bear case floor of $50.89 is itself well below the current price — this is not a situation where the bear case is approximately in line with the market and the debate is about upside optionality. The entire DCF range implies material overvaluation at the current price. For the market price to be justified by this DCF framework, the copper price would need to be sustained materially above the forward curve used in the model, or the terminal growth rate would need to significantly exceed long-run nominal GDP — both of which are aggressive assumptions for a valuation analyst to embed as a base case.</w:t>
      </w:r>
    </w:p>
    <w:p>
      <w:r>
        <w:rPr>
          <w:rFonts w:ascii="Helvetica" w:hAnsi="Helvetica"/>
          <w:color w:val="333333"/>
          <w:sz w:val="20"/>
        </w:rPr>
        <w:t>The key assumption that would need to change materially to justify $181.78 is the WACC. The sensitivity table in Section 6.5 shows that the base case DCF at a WACC of 9.4% (the most accommodating in the table) and TGR of 3.5% produces $78.3 — still 57% below the current price. To reach $181.78, a WACC of approximately 5%–6% and terminal growth assumption well above the range considered would be required — a set of inputs that implies either near-zero risk premium or China-level perpetual growth, neither of which is defensible for a Peruvian/Mexican mining operation.</w:t>
      </w:r>
    </w:p>
    <w:p>
      <w:r>
        <w:rPr>
          <w:rFonts w:ascii="Helvetica" w:hAnsi="Helvetica"/>
          <w:color w:val="333333"/>
          <w:sz w:val="20"/>
        </w:rPr>
        <w:t>---</w:t>
      </w:r>
    </w:p>
    <w:p>
      <w:pPr>
        <w:pStyle w:val="Heading2"/>
      </w:pPr>
      <w:r>
        <w:rPr>
          <w:rFonts w:ascii="Helvetica" w:hAnsi="Helvetica"/>
          <w:b/>
          <w:color w:val="6B000C"/>
          <w:sz w:val="32"/>
        </w:rPr>
        <w:t>6.3 Multiples-Based Valuation</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Company Metric</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Target Multiple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Implied Price (Base)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 EPS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EPS $5.24 (FY2025 diluted)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15.0x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$78.66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 EBITDA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$7,870M (FY2025)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$72.45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 × EBIT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$7,002M (FY2025)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$76.71</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P/FCF × FCF/Share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UFCF/share $4.72 (FY2025)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$75.52</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 → Price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UFCF/share $4.72 (FY2025)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 target yield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$67.43</w:t>
            </w:r>
          </w:p>
        </w:tc>
      </w:tr>
    </w:tbl>
    <w:p>
      <w:r>
        <w:rPr>
          <w:rFonts w:ascii="Helvetica" w:hAnsi="Helvetica"/>
          <w:color w:val="333333"/>
          <w:sz w:val="20"/>
        </w:rPr>
        <w:t>Target multiples reflect through-cycle sector conventions. The 15.0x P/E target anchors to the FCX historical through-cycle range (12–18x) at the midpoint; 8.0x EV/EBITDA is the conservative end of the tier-1 copper miner range (7–10x historically); 7.0% FCF yield is applied as the normalised yield target for an investment-grade large-cap commodity producer.</w:t>
      </w:r>
    </w:p>
    <w:p>
      <w:r>
        <w:rPr>
          <w:rFonts w:ascii="Helvetica" w:hAnsi="Helvetica"/>
          <w:color w:val="333333"/>
          <w:sz w:val="20"/>
        </w:rPr>
        <w:t>For a commodity producer such as SCCO, EV/EBITDA is the most analytically meaningful relative valuation multiple. It is capital-structure-neutral, agnostic to non-cash charges, and the standard multiple referenced by sector practitioners. The peer group trades at 8.2x–13.2x EV/EBITDA, with FCX at 12.1x as the most relevant comp. Applying the peer average of approximately 11.0x to SCCO's FY2025 EBITDA of $7,870M implies an enterprise value of approximately $86.6 billion, less $2.4 billion net debt, divided by 834 million shares — an implied equity value of approximately $101 per share. This is well above the DCF range but still 44% below the current market price. SCCO's current 19.6x EV/EBITDA is more than twice the peer average — a premium that the operational superiority of the business does not fully explain.</w:t>
      </w:r>
    </w:p>
    <w:p>
      <w:r>
        <w:rPr>
          <w:rFonts w:ascii="Helvetica" w:hAnsi="Helvetica"/>
          <w:color w:val="333333"/>
          <w:sz w:val="20"/>
        </w:rPr>
        <w:t>---</w:t>
      </w:r>
    </w:p>
    <w:p>
      <w:pPr>
        <w:pStyle w:val="Heading2"/>
      </w:pPr>
      <w:r>
        <w:rPr>
          <w:rFonts w:ascii="Helvetica" w:hAnsi="Helvetica"/>
          <w:b/>
          <w:color w:val="6B000C"/>
          <w:sz w:val="32"/>
        </w:rPr>
        <w:t>6.4 Composite Fair Value</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Bull</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DCF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$50.89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$59.70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$70.21</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Relative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$66.86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$78.66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$90.46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Relative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$61.13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$72.45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$83.77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$58.61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$67.41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$79.30</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Composite Fair Value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$59.38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$69.56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$80.94</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Scenario Probability</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r>
    </w:tbl>
    <w:p>
      <w:r>
        <w:rPr>
          <w:rFonts w:ascii="Helvetica" w:hAnsi="Helvetica"/>
          <w:b/>
          <w:color w:val="333333"/>
          <w:sz w:val="20"/>
        </w:rPr>
        <w:t>Base-Case Composite Fair Value (reference scenario):</w:t>
      </w:r>
      <w:r>
        <w:rPr>
          <w:rFonts w:ascii="Helvetica" w:hAnsi="Helvetica"/>
          <w:color w:val="333333"/>
          <w:sz w:val="20"/>
        </w:rPr>
        <w:t xml:space="preserve"> $69.56 | </w:t>
      </w:r>
      <w:r>
        <w:rPr>
          <w:rFonts w:ascii="Helvetica" w:hAnsi="Helvetica"/>
          <w:b/>
          <w:color w:val="333333"/>
          <w:sz w:val="20"/>
        </w:rPr>
        <w:t>Probability-Weighted (25/50/25):</w:t>
      </w:r>
      <w:r>
        <w:rPr>
          <w:rFonts w:ascii="Helvetica" w:hAnsi="Helvetica"/>
          <w:color w:val="333333"/>
          <w:sz w:val="20"/>
        </w:rPr>
        <w:t xml:space="preserve"> $69.86</w:t>
      </w:r>
    </w:p>
    <w:p>
      <w:r>
        <w:rPr>
          <w:rFonts w:ascii="Helvetica" w:hAnsi="Helvetica"/>
          <w:b/>
          <w:color w:val="333333"/>
          <w:sz w:val="20"/>
        </w:rPr>
        <w:t>Current Price:</w:t>
      </w:r>
      <w:r>
        <w:rPr>
          <w:rFonts w:ascii="Helvetica" w:hAnsi="Helvetica"/>
          <w:color w:val="333333"/>
          <w:sz w:val="20"/>
        </w:rPr>
        <w:t xml:space="preserve"> $181.78 | </w:t>
      </w:r>
      <w:r>
        <w:rPr>
          <w:rFonts w:ascii="Helvetica" w:hAnsi="Helvetica"/>
          <w:b/>
          <w:color w:val="333333"/>
          <w:sz w:val="20"/>
        </w:rPr>
        <w:t>Implied Upside / Downside (base):</w:t>
      </w:r>
      <w:r>
        <w:rPr>
          <w:rFonts w:ascii="Helvetica" w:hAnsi="Helvetica"/>
          <w:color w:val="333333"/>
          <w:sz w:val="20"/>
        </w:rPr>
        <w:t xml:space="preserve"> -61.7%</w:t>
      </w:r>
    </w:p>
    <w:p>
      <w:r>
        <w:rPr>
          <w:rFonts w:ascii="Helvetica" w:hAnsi="Helvetica"/>
          <w:color w:val="333333"/>
          <w:sz w:val="20"/>
        </w:rPr>
        <w:t>The composite fair value range of $59.38–$80.94 spans approximately $22 from bear to bull, or roughly 31% of the base composite — a relatively narrow dispersion that signals methodological consistency. All four approaches converge in the same general band and all four are well below the current market price.</w:t>
      </w:r>
    </w:p>
    <w:p>
      <w:r>
        <w:rPr>
          <w:rFonts w:ascii="Helvetica" w:hAnsi="Helvetica"/>
          <w:color w:val="333333"/>
          <w:sz w:val="20"/>
        </w:rPr>
        <w:t>The factor driving the spread between bear and bull is primarily the DCF growth assumption — the bear and bull cases differ in their revenue growth and margin paths over the five-year period, as well as the terminal growth rate (±0.5pp from base). The FCF yield and DCF methods produce the lowest implied prices, while the P/E relative method produces the highest, because the target P/E of 15x applied to SCCO's record FY2025 EPS of $5.24 yields a higher per-share value than the DCF's long-run normalised UFCF approach.</w:t>
      </w:r>
    </w:p>
    <w:p>
      <w:r>
        <w:rPr>
          <w:rFonts w:ascii="Helvetica" w:hAnsi="Helvetica"/>
          <w:color w:val="333333"/>
          <w:sz w:val="20"/>
        </w:rPr>
        <w:t>The conclusion is unambiguous: at $181.78, SCCO trades at approximately 2.6 times the base-case composite fair value of $69.56 (probability-weighted: $69.86). The overvaluation is not a rounding error or a sensitivity — it is robust across all four methods and all three scenarios.</w:t>
      </w:r>
    </w:p>
    <w:p>
      <w:r>
        <w:rPr>
          <w:rFonts w:ascii="Helvetica" w:hAnsi="Helvetica"/>
          <w:color w:val="333333"/>
          <w:sz w:val="20"/>
        </w:rPr>
        <w:t>---</w:t>
      </w:r>
    </w:p>
    <w:p>
      <w:pPr>
        <w:pStyle w:val="Heading2"/>
      </w:pPr>
      <w:r>
        <w:rPr>
          <w:rFonts w:ascii="Helvetica" w:hAnsi="Helvetica"/>
          <w:b/>
          <w:color w:val="6B000C"/>
          <w:sz w:val="32"/>
        </w:rPr>
        <w:t>6.5 Sensitivity Analysis</w:t>
      </w:r>
    </w:p>
    <w:p>
      <w:r>
        <w:rPr>
          <w:rFonts w:ascii="Helvetica" w:hAnsi="Helvetica"/>
          <w:color w:val="333333"/>
          <w:sz w:val="20"/>
        </w:rPr>
        <w:t>The sensitivity of the base case DCF fair value to WACC and terminal growth rate is shown below. The base case sits at WACC = 10.40% and TGR = 2.5%, producing an implied fair value of $59.70 per share.</w:t>
      </w:r>
    </w:p>
    <w:p>
      <w:r>
        <w:rPr>
          <w:rFonts w:ascii="Helvetica" w:hAnsi="Helvetica"/>
          <w:color w:val="333333"/>
          <w:sz w:val="20"/>
        </w:rPr>
        <w:t>The current share price of $181.78 is not implied by any combination within the table. At the lowest WACC of 9.4% and the highest TGR of 3.5%, the implied fair value is $78.3 — still 57% below $181.78. To reverse-engineer the current market price, the implied WACC would need to fall to approximately 5%–6% with a terminal growth rate above 5%, a set of assumptions that is inconsistent with any reasonable view of SCCO's sovereign risk profile and long-run growth potential. This confirms that the market is not valuing SCCO on a DCF framework but rather on momentum, index weighting, or a view on the copper commodity price that is not reflected in the analyst's base assumptions.</w:t>
      </w:r>
    </w:p>
    <w:p>
      <w:r>
        <w:rPr>
          <w:rFonts w:ascii="Helvetica" w:hAnsi="Helvetica"/>
          <w:b/>
          <w:color w:val="333333"/>
          <w:sz w:val="20"/>
        </w:rPr>
        <w:t>WACC × Terminal Growth Rate — DCF Fair Value / Share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TGR</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78.3</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10.4%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59.7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66.5</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61.8</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57.7</w:t>
            </w:r>
          </w:p>
        </w:tc>
      </w:tr>
    </w:tbl>
    <w:p>
      <w:r>
        <w:rPr>
          <w:rFonts w:ascii="Helvetica" w:hAnsi="Helvetica"/>
          <w:color w:val="333333"/>
          <w:sz w:val="20"/>
        </w:rPr>
        <w:t>---</w:t>
      </w:r>
    </w:p>
    <w:p>
      <w:pPr>
        <w:pStyle w:val="Heading2"/>
      </w:pPr>
      <w:r>
        <w:rPr>
          <w:rFonts w:ascii="Helvetica" w:hAnsi="Helvetica"/>
          <w:b/>
          <w:color w:val="6B000C"/>
          <w:sz w:val="32"/>
        </w:rPr>
        <w:t>6.6 Investment Recommendation</w:t>
      </w:r>
    </w:p>
    <w:p>
      <w:r>
        <w:rPr>
          <w:rFonts w:ascii="Helvetica" w:hAnsi="Helvetica"/>
          <w:b/>
          <w:color w:val="333333"/>
          <w:sz w:val="20"/>
        </w:rPr>
        <w:t>Rating:</w:t>
      </w:r>
      <w:r>
        <w:rPr>
          <w:rFonts w:ascii="Helvetica" w:hAnsi="Helvetica"/>
          <w:color w:val="333333"/>
          <w:sz w:val="20"/>
        </w:rPr>
        <w:t xml:space="preserve"> SELL | </w:t>
      </w:r>
      <w:r>
        <w:rPr>
          <w:rFonts w:ascii="Helvetica" w:hAnsi="Helvetica"/>
          <w:b/>
          <w:color w:val="333333"/>
          <w:sz w:val="20"/>
        </w:rPr>
        <w:t>12-Month Price Target:</w:t>
      </w:r>
      <w:r>
        <w:rPr>
          <w:rFonts w:ascii="Helvetica" w:hAnsi="Helvetica"/>
          <w:color w:val="333333"/>
          <w:sz w:val="20"/>
        </w:rPr>
        <w:t xml:space="preserve"> $81 | </w:t>
      </w:r>
      <w:r>
        <w:rPr>
          <w:rFonts w:ascii="Helvetica" w:hAnsi="Helvetica"/>
          <w:b/>
          <w:color w:val="333333"/>
          <w:sz w:val="20"/>
        </w:rPr>
        <w:t>Conviction:</w:t>
      </w:r>
      <w:r>
        <w:rPr>
          <w:rFonts w:ascii="Helvetica" w:hAnsi="Helvetica"/>
          <w:color w:val="333333"/>
          <w:sz w:val="20"/>
        </w:rPr>
        <w:t xml:space="preserve"> High</w:t>
      </w:r>
    </w:p>
    <w:p>
      <w:r>
        <w:rPr>
          <w:rFonts w:ascii="Helvetica" w:hAnsi="Helvetica"/>
          <w:i/>
          <w:color w:val="333333"/>
          <w:sz w:val="20"/>
        </w:rPr>
        <w:t>Note: The 12-month price target of $81 is set at the top of the composite bull-case fair value range ($80.94), giving full credit to the most optimistic scenario across all four valuation methods. Even at this maximum, the implied downside from the current price is 55%.</w:t>
      </w:r>
    </w:p>
    <w:p>
      <w:r>
        <w:rPr>
          <w:rFonts w:ascii="Helvetica" w:hAnsi="Helvetica"/>
          <w:color w:val="333333"/>
          <w:sz w:val="20"/>
        </w:rPr>
        <w:t>The investment thesis in one sentence: SCCO is a world-class copper mining franchise trading at approximately 2.6 times its intrinsic value, and the risk-reward at current prices is deeply unfavourable even if one grants the most optimistic assumptions.</w:t>
      </w:r>
    </w:p>
    <w:p>
      <w:r>
        <w:rPr>
          <w:rFonts w:ascii="Helvetica" w:hAnsi="Helvetica"/>
          <w:color w:val="333333"/>
          <w:sz w:val="20"/>
        </w:rPr>
        <w:t>What the market appears to be pricing in is a combination of structurally elevated copper prices and a premium for SCCO's irreplaceable asset quality. The asset quality argument is correct — SCCO's EBITDA margins of 58.6%, ROIC of 34.9%, and 30+ year reserve life at major operations are genuinely exceptional. The asset quality premium, however, does not explain a 19.6x EV/EBITDA multiple when peers trade at 8–13x and when the intrinsic value framework — which gives full credit to the asset quality through above-peer margin assumptions — produces a fair value below $81 even in the bull case.</w:t>
      </w:r>
    </w:p>
    <w:p>
      <w:r>
        <w:rPr>
          <w:rFonts w:ascii="Helvetica" w:hAnsi="Helvetica"/>
          <w:color w:val="333333"/>
          <w:sz w:val="20"/>
        </w:rPr>
        <w:t>The structural risks compound the valuation concern. The forensic analysis identified six RED-severity flags: Asarco-related purchases surged approximately 15x year-over-year without arm's-length pricing disclosure; related-party payables nearly tripled to approximately $138.4M; three energy supply agreements with Grupo Mexico affiliates carry no disclosed pricing benchmarks; 88.9% Grupo Mexico ownership creates board-level conflicts with overlapping officer roles; the leach pad inventory — SCCO's sole Critical Audit Matter — carries a balance exceeding $400M with significant estimation risk; and the Garcia Ataucuri labor shares case reached active execution in December 2025 with a constitutional court block that is provisional, not permanent. None of these individually is a near-term catalyst, but collectively they represent a governance and legal risk premium that is being assigned zero weight by the market at current prices.</w:t>
      </w:r>
    </w:p>
    <w:p>
      <w:r>
        <w:rPr>
          <w:rFonts w:ascii="Helvetica" w:hAnsi="Helvetica"/>
          <w:color w:val="333333"/>
          <w:sz w:val="20"/>
        </w:rPr>
        <w:t>The short interest of 12.99% of float confirms this is a contested stock with material institutional disagreement about fair value. The analyst consensus is divided with a Sell bias (10 Sell, 5 Hold, 2 Buy per available sell-side data). This analysis is aligned with the Sell majority.</w:t>
      </w:r>
    </w:p>
    <w:p>
      <w:r>
        <w:rPr>
          <w:rFonts w:ascii="Helvetica" w:hAnsi="Helvetica"/>
          <w:b/>
          <w:color w:val="333333"/>
          <w:sz w:val="20"/>
        </w:rPr>
        <w:t>Key Catalyst:</w:t>
      </w:r>
      <w:r>
        <w:rPr>
          <w:rFonts w:ascii="Helvetica" w:hAnsi="Helvetica"/>
          <w:color w:val="333333"/>
          <w:sz w:val="20"/>
        </w:rPr>
        <w:t xml:space="preserve"> A copper spot price correction below $4.00/lb would compress SCCO's EBITDA margins and expose the valuation gap. The company's current FCF generation is high because copper is elevated; at $3.50/lb EBITDA would fall materially, and the current multiple would look extreme even to momentum-oriented investors.</w:t>
      </w:r>
    </w:p>
    <w:p>
      <w:r>
        <w:rPr>
          <w:rFonts w:ascii="Helvetica" w:hAnsi="Helvetica"/>
          <w:b/>
          <w:color w:val="333333"/>
          <w:sz w:val="20"/>
        </w:rPr>
        <w:t>Key Risk:</w:t>
      </w:r>
      <w:r>
        <w:rPr>
          <w:rFonts w:ascii="Helvetica" w:hAnsi="Helvetica"/>
          <w:color w:val="333333"/>
          <w:sz w:val="20"/>
        </w:rPr>
        <w:t xml:space="preserve"> A sustained copper super-cycle driven by AI data centre build-out, green energy transition, and Chinese infrastructure stimulus could push EBITDA materially above the model's base case and support a higher market multiple. If copper sustains $5.00+/lb for a multi-year period, the bull case fair value would expand beyond the range presented here, and the market multiple could be sustained longer than the fundamental gap would suggest.</w:t>
      </w:r>
    </w:p>
    <w:p>
      <w:r>
        <w:rPr>
          <w:rFonts w:ascii="Helvetica" w:hAnsi="Helvetica"/>
          <w:color w:val="333333"/>
          <w:sz w:val="20"/>
        </w:rPr>
        <w:t>---</w:t>
      </w:r>
    </w:p>
    <w:p>
      <w:pPr>
        <w:pStyle w:val="Heading3"/>
      </w:pPr>
      <w:r>
        <w:rPr>
          <w:rFonts w:ascii="Helvetica" w:hAnsi="Helvetica"/>
          <w:b/>
          <w:color w:val="6B000C"/>
          <w:sz w:val="24"/>
        </w:rPr>
        <w:t>Upgrade Triggers (conditions that would raise the rating or target)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Trigger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Threshold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Timeframe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 price sustained rally materially above model assumptions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 spot price sustains above $5.00/lb for two consecutive quarters, implying FY2026 EBITDA materially above the model base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Tia Maria commercial production milestone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Tia Maria reaches first commercial copper production and 12-month production guidance issued at or above 120,000 tonne annual rate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18–24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Governance improvement — Grupo Mexico related-party pricing</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Company discloses arm's-length pricing benchmarks for Asarco LLC purchases and energy contracts; independent board committee review of related-party transactions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Garcia Ataucuri case dismissed or settled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Constitutional court provides permanent blocking order, or case is settled on terms that do not result in dilutive share transfer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Multiple compression in peers removes the premium argument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Peer group re-rates to 15x+ EV/EBITDA (reducing SCCO's premium to less than 30%), making the current SCCO multiple more defensible in relative terms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bl>
    <w:p>
      <w:pPr>
        <w:pStyle w:val="Heading3"/>
      </w:pPr>
      <w:r>
        <w:rPr>
          <w:rFonts w:ascii="Helvetica" w:hAnsi="Helvetica"/>
          <w:b/>
          <w:color w:val="6B000C"/>
          <w:sz w:val="24"/>
        </w:rPr>
        <w:t>Downgrade Triggers (conditions that would lower the rating or target)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Trigger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Threshold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Timeframe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 price deterioration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 spot price falls below $3.75/lb and sustains for two consecutive quarters — implying FY EBITDA margin compression below 45%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Garcia Ataucuri execution proceeds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Court lifts provisional constitutional block; execution proceedings result in share transfer or new equity dilution to workers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Further related-party disclosure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Additional Grupo Mexico affiliate transactions disclosed without independent pricing benchmarks; related-party payables exceed $250M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Tia Maria construction delay or community opposition escalation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Major construction delay of 12+ months or serious social conflict event at the Tia Maria site reducing volume growth assumptions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Peruvian political disruption to mining operations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Presidential removal or election result resulting in punitive mining royalty increase above 5% on copper revenues, or forced renegotiation of Tia Maria concession terms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bl>
    <w:p>
      <w:r>
        <w:rPr>
          <w:rFonts w:ascii="Helvetica" w:hAnsi="Helvetica"/>
          <w:i/>
          <w:color w:val="333333"/>
          <w:sz w:val="20"/>
        </w:rPr>
        <w:t>Format: "[Metric] exceeds/falls below [threshold] in [timeframe] → revise rating to [recommendation]"</w:t>
      </w:r>
    </w:p>
    <w:p>
      <w:r>
        <w:rPr>
          <w:rFonts w:ascii="Helvetica" w:hAnsi="Helvetica"/>
          <w:color w:val="333333"/>
          <w:sz w:val="20"/>
        </w:rPr>
        <w:t>---</w:t>
      </w:r>
    </w:p>
    <w:p>
      <w:pPr>
        <w:pStyle w:val="Heading1"/>
      </w:pPr>
      <w:r>
        <w:rPr>
          <w:rFonts w:ascii="Helvetica" w:hAnsi="Helvetica"/>
          <w:b/>
          <w:color w:val="6B000C"/>
          <w:sz w:val="36"/>
        </w:rPr>
        <w:t>Section 7 — Quarterly Update: Q1 2026</w:t>
      </w:r>
    </w:p>
    <w:p>
      <w:r>
        <w:rPr>
          <w:rFonts w:ascii="Helvetica" w:hAnsi="Helvetica"/>
          <w:i/>
          <w:color w:val="333333"/>
          <w:sz w:val="20"/>
        </w:rPr>
        <w:t>This is a quarterly update note. The reader has read Sections 1–6 and knows the business, the thesis, and the historical financials. Do not repeat that context. The purpose of this section is: (1) report what happened this quarter with exact numbers, (2) explain what drove the results and what the footnotes reveal, (3) assess whether the investment thesis is intact, and (4) state a clear portfolio action. Be schematic. Every analytical claim must be grounded in a specific number.</w:t>
      </w:r>
    </w:p>
    <w:p>
      <w:r>
        <w:rPr>
          <w:rFonts w:ascii="Helvetica" w:hAnsi="Helvetica"/>
          <w:i/>
          <w:color w:val="333333"/>
          <w:sz w:val="20"/>
        </w:rPr>
        <w:t>Quarter definitions (from manifest quarterly_periods):</w:t>
      </w:r>
    </w:p>
    <w:p>
      <w:r>
        <w:rPr>
          <w:rFonts w:ascii="Helvetica" w:hAnsi="Helvetica"/>
          <w:color w:val="333333"/>
          <w:sz w:val="20"/>
        </w:rPr>
        <w:t xml:space="preserve">- </w:t>
      </w:r>
      <w:r>
        <w:rPr>
          <w:rFonts w:ascii="Helvetica" w:hAnsi="Helvetica"/>
          <w:i/>
          <w:color w:val="333333"/>
          <w:sz w:val="20"/>
        </w:rPr>
        <w:t>CQ = Q1 2026 (period ended March 31, 2026)</w:t>
      </w:r>
    </w:p>
    <w:p>
      <w:r>
        <w:rPr>
          <w:rFonts w:ascii="Helvetica" w:hAnsi="Helvetica"/>
          <w:color w:val="333333"/>
          <w:sz w:val="20"/>
        </w:rPr>
        <w:t xml:space="preserve">- </w:t>
      </w:r>
      <w:r>
        <w:rPr>
          <w:rFonts w:ascii="Helvetica" w:hAnsi="Helvetica"/>
          <w:i/>
          <w:color w:val="333333"/>
          <w:sz w:val="20"/>
        </w:rPr>
        <w:t>PYSQ = Q1 2025 (year-over-year comparison)</w:t>
      </w:r>
    </w:p>
    <w:p>
      <w:r>
        <w:rPr>
          <w:rFonts w:ascii="Helvetica" w:hAnsi="Helvetica"/>
          <w:color w:val="333333"/>
          <w:sz w:val="20"/>
        </w:rPr>
        <w:t xml:space="preserve">- </w:t>
      </w:r>
      <w:r>
        <w:rPr>
          <w:rFonts w:ascii="Helvetica" w:hAnsi="Helvetica"/>
          <w:i/>
          <w:color w:val="333333"/>
          <w:sz w:val="20"/>
        </w:rPr>
        <w:t>PQ = Q4 2025 (sequential comparison)</w:t>
      </w:r>
    </w:p>
    <w:p>
      <w:r>
        <w:rPr>
          <w:rFonts w:ascii="Helvetica" w:hAnsi="Helvetica"/>
          <w:color w:val="333333"/>
          <w:sz w:val="20"/>
        </w:rPr>
        <w:t>---</w:t>
      </w:r>
    </w:p>
    <w:p>
      <w:pPr>
        <w:pStyle w:val="Heading2"/>
      </w:pPr>
      <w:r>
        <w:rPr>
          <w:rFonts w:ascii="Helvetica" w:hAnsi="Helvetica"/>
          <w:b/>
          <w:color w:val="6B000C"/>
          <w:sz w:val="32"/>
        </w:rPr>
        <w:t>Portfolio Action</w:t>
      </w:r>
    </w:p>
    <w:p>
      <w:r>
        <w:rPr>
          <w:rFonts w:ascii="Helvetica" w:hAnsi="Helvetica"/>
          <w:b/>
          <w:color w:val="333333"/>
          <w:sz w:val="20"/>
        </w:rPr>
        <w:t>REDUCE</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p>
        </w:tc>
        <w:tc>
          <w:tcPr>
            <w:tcW w:type="dxa" w:w="4513"/>
            <w:shd w:fill="6b000c"/>
            <w:tcMar>
              <w:top w:w="40" w:type="dxa"/>
              <w:bottom w:w="40" w:type="dxa"/>
              <w:left w:w="80" w:type="dxa"/>
              <w:right w:w="80" w:type="dxa"/>
            </w:tcMar>
          </w:tcPr>
          <w:p>
            <w:pPr>
              <w:jc w:val="center"/>
            </w:pPr>
            <w:r/>
            <w:r>
              <w:rPr>
                <w:rFonts w:ascii="Helvetica" w:hAnsi="Helvetica"/>
                <w:b/>
                <w:color w:val="FFFFFF"/>
                <w:sz w:val="16"/>
              </w:rPr>
              <w:t>Assessment</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Action</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REDUCE</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Reason</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Q1 2026 delivered exceptional operating results — revenue of $4,251.4M (+36.2% YoY) and EBITDA of $2,706.1M (+53.8% YoY) — entirely driven by copper and silver price surges; but the stock at ~$181.78 is priced at ~20× EV/EBITDA against a DCF-implied 7–8×, copper production declined 4.0% YoY to 508.3M pounds, related-party opacity persists with $93.8M in affiliate purchases per quarter, and the unexpected death of CEO Oscar Gonzalez Rocha (10-Q p. 2) introduces meaningful leadership transition risk that the market has not yet priced.</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Thesis intact?</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PARTIALLY — the structural thesis (SCCO is fundamentally overvalued relative to DCF intrinsic value of $73.68/share) is reinforced: the quarter's strength is almost entirely commodity-price-driven and does not alter the long-run earnings power used in the base-case DCF. However, the short-term thesis on operational deterioration is not confirmed this quarter.</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Trigger to revisit</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Downgrade to EXIT if copper (LME) falls below $4.50/lb for two consecutive months, which would compress EBITDA by approximately $357M/quarter (per $0.10/lb sensitivity of $89.2M × 4), eroding the primary support for the current valuation. Upgrade to HOLD if the stock corrects to $130 or below, narrowing the premium over DCF intrinsic value ($73.68) to less than 2× — at which point the copper-optionality argument begins to close the gap.</w:t>
            </w:r>
          </w:p>
        </w:tc>
      </w:tr>
    </w:tbl>
    <w:p>
      <w:r>
        <w:rPr>
          <w:rFonts w:ascii="Helvetica" w:hAnsi="Helvetica"/>
          <w:color w:val="333333"/>
          <w:sz w:val="20"/>
        </w:rPr>
        <w:t>---</w:t>
      </w:r>
    </w:p>
    <w:p>
      <w:pPr>
        <w:pStyle w:val="Heading2"/>
      </w:pPr>
      <w:r>
        <w:rPr>
          <w:rFonts w:ascii="Helvetica" w:hAnsi="Helvetica"/>
          <w:b/>
          <w:color w:val="6B000C"/>
          <w:sz w:val="32"/>
        </w:rPr>
        <w:t>7.1 Results at a Glance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2026</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YoY Δ</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Q4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QoQ Δ</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4,251.4M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3,121.9M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3,869.8M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Gross Profit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2,752.6M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1,802.7M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2,398.3M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EBITDA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2,706.1M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1,759.3M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2,341.1M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63.6%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2,480.4M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1,535.5M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2,110.4M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Net Income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1,553.2M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945.8M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1,316.7M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+18.0%</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Diluted EPS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+26.7%</w:t>
            </w:r>
          </w:p>
        </w:tc>
      </w:tr>
    </w:tbl>
    <w:p>
      <w:r>
        <w:rPr>
          <w:rFonts w:ascii="Helvetica" w:hAnsi="Helvetica"/>
          <w:i/>
          <w:color w:val="333333"/>
          <w:sz w:val="20"/>
        </w:rPr>
        <w:t>Computation examples (first occurrence per subsection):</w:t>
      </w:r>
    </w:p>
    <w:p>
      <w:r>
        <w:rPr>
          <w:rFonts w:ascii="Helvetica" w:hAnsi="Helvetica"/>
          <w:color w:val="333333"/>
          <w:sz w:val="20"/>
        </w:rPr>
        <w:t xml:space="preserve">- </w:t>
      </w:r>
      <w:r>
        <w:rPr>
          <w:rFonts w:ascii="Helvetica" w:hAnsi="Helvetica"/>
          <w:i/>
          <w:color w:val="333333"/>
          <w:sz w:val="20"/>
        </w:rPr>
        <w:t>YoY Δ formula: (CQ − PYSQ) / |PYSQ| × 100. Revenue: (4,251.4 − 3,121.9) / |3,121.9| × 100 = +36.2%</w:t>
      </w:r>
    </w:p>
    <w:p>
      <w:r>
        <w:rPr>
          <w:rFonts w:ascii="Helvetica" w:hAnsi="Helvetica"/>
          <w:color w:val="333333"/>
          <w:sz w:val="20"/>
        </w:rPr>
        <w:t xml:space="preserve">- </w:t>
      </w:r>
      <w:r>
        <w:rPr>
          <w:rFonts w:ascii="Helvetica" w:hAnsi="Helvetica"/>
          <w:i/>
          <w:color w:val="333333"/>
          <w:sz w:val="20"/>
        </w:rPr>
        <w:t>QoQ Δ formula: (CQ − PQ) / |PQ| × 100. Revenue: (4,251.4 − 3,869.8) / |3,869.8| × 100 = +9.9%</w:t>
      </w:r>
    </w:p>
    <w:p>
      <w:r>
        <w:rPr>
          <w:rFonts w:ascii="Helvetica" w:hAnsi="Helvetica"/>
          <w:color w:val="333333"/>
          <w:sz w:val="20"/>
        </w:rPr>
        <w:t xml:space="preserve">- </w:t>
      </w:r>
      <w:r>
        <w:rPr>
          <w:rFonts w:ascii="Helvetica" w:hAnsi="Helvetica"/>
          <w:i/>
          <w:color w:val="333333"/>
          <w:sz w:val="20"/>
        </w:rPr>
        <w:t>Gross Margin CQ = 2,752.6 / 4,251.4 × 100 = 64.7%. PYSQ = 1,802.7 / 3,121.9 × 100 = 57.7%. PQ = 2,398.3 / 3,869.8 × 100 = 62.0%</w:t>
      </w:r>
    </w:p>
    <w:p>
      <w:r>
        <w:rPr>
          <w:rFonts w:ascii="Helvetica" w:hAnsi="Helvetica"/>
          <w:color w:val="333333"/>
          <w:sz w:val="20"/>
        </w:rPr>
        <w:t xml:space="preserve">- </w:t>
      </w:r>
      <w:r>
        <w:rPr>
          <w:rFonts w:ascii="Helvetica" w:hAnsi="Helvetica"/>
          <w:i/>
          <w:color w:val="333333"/>
          <w:sz w:val="20"/>
        </w:rPr>
        <w:t>EBITDA Margin CQ = 2,706.1 / 4,251.4 × 100 = 63.6%. PYSQ = 1,759.3 / 3,121.9 × 100 = 56.4%. PQ = 2,341.1 / 3,869.8 × 100 = 60.5%</w:t>
      </w:r>
    </w:p>
    <w:p>
      <w:r>
        <w:rPr>
          <w:rFonts w:ascii="Helvetica" w:hAnsi="Helvetica"/>
          <w:color w:val="333333"/>
          <w:sz w:val="20"/>
        </w:rPr>
        <w:t xml:space="preserve">- </w:t>
      </w:r>
      <w:r>
        <w:rPr>
          <w:rFonts w:ascii="Helvetica" w:hAnsi="Helvetica"/>
          <w:i/>
          <w:color w:val="333333"/>
          <w:sz w:val="20"/>
        </w:rPr>
        <w:t>EBIT Margin CQ = 2,480.4 / 4,251.4 × 100 = 58.3%. PYSQ = 1,535.5 / 3,121.9 × 100 = 49.2%. PQ = 2,110.4 / 3,869.8 × 100 = 54.5%</w:t>
      </w:r>
    </w:p>
    <w:p>
      <w:r>
        <w:rPr>
          <w:rFonts w:ascii="Helvetica" w:hAnsi="Helvetica"/>
          <w:color w:val="333333"/>
          <w:sz w:val="20"/>
        </w:rPr>
        <w:t xml:space="preserve">- </w:t>
      </w:r>
      <w:r>
        <w:rPr>
          <w:rFonts w:ascii="Helvetica" w:hAnsi="Helvetica"/>
          <w:i/>
          <w:color w:val="333333"/>
          <w:sz w:val="20"/>
        </w:rPr>
        <w:t>Net Margin CQ = 1,553.2 / 4,251.4 × 100 = 36.5%. PYSQ = 945.8 / 3,121.9 × 100 = 30.3%. PQ = 1,316.7 / 3,869.8 × 100 = 34.0%</w:t>
      </w:r>
    </w:p>
    <w:p>
      <w:pPr>
        <w:jc w:val="left"/>
      </w:pPr>
      <w:r>
        <w:rPr>
          <w:rFonts w:ascii="Helvetica" w:hAnsi="Helvetica"/>
          <w:i/>
          <w:color w:val="666666"/>
          <w:sz w:val="18"/>
        </w:rPr>
        <w:t>Source: SCCO Form 10-Q for the period ended March 31, 2026 — Condensed Consolidated Statements of Earnings (p. 4)*</w:t>
      </w:r>
    </w:p>
    <w:p>
      <w:r>
        <w:rPr>
          <w:rFonts w:ascii="Helvetica" w:hAnsi="Helvetica"/>
          <w:color w:val="333333"/>
          <w:sz w:val="20"/>
        </w:rPr>
        <w:t>---</w:t>
      </w:r>
    </w:p>
    <w:p>
      <w:pPr>
        <w:pStyle w:val="Heading2"/>
      </w:pPr>
      <w:r>
        <w:rPr>
          <w:rFonts w:ascii="Helvetica" w:hAnsi="Helvetica"/>
          <w:b/>
          <w:color w:val="6B000C"/>
          <w:sz w:val="32"/>
        </w:rPr>
        <w:t>7.2 P&amp;L Drivers</w:t>
      </w:r>
    </w:p>
    <w:p>
      <w:r>
        <w:rPr>
          <w:rFonts w:ascii="Helvetica" w:hAnsi="Helvetica"/>
          <w:b/>
          <w:color w:val="333333"/>
          <w:sz w:val="20"/>
        </w:rPr>
        <w:t>Revenue:</w:t>
      </w:r>
      <w:r>
        <w:rPr>
          <w:rFonts w:ascii="Helvetica" w:hAnsi="Helvetica"/>
          <w:color w:val="333333"/>
          <w:sz w:val="20"/>
        </w:rPr>
        <w:t xml:space="preserve"> Q1 2026 net sales of $4,251.4M were up +36.2% YoY (from $3,121.9M in Q1 2025) and +9.9% QoQ (from $3,869.8M in Q4 2025), driven almost entirely by commodity price inflation rather than volume growth. The LME copper price rose from $4.24/lb to $5.83/lb (+37.5% YoY) and COMEX copper from $4.57 to $5.80/lb (+26.9%); silver prices surged from $32.31 to $83.33 per ounce (+157.9%); molybdenum averaged $25.37/lb vs. $20.43/lb (+24.2%); and zinc improved from $1.29 to $1.47/lb (+14.0%). These price gains more than offset a -4.9% decline in copper sales volume (511.0M lbs in Q1 2026 vs. 537.0M lbs in Q1 2025) and a -2.8% decline in molybdenum sales volume. Silver volume grew +11.6% and zinc volume +16.4%, adding incremental top-line support. By-products accounted for 29.8% of total revenue in Q1 2026 (silver 12.5%, molybdenum 10.5%, zinc 3.4%, other 3.4%), up from 22.1% in Q1 2025, reflecting silver's explosive price appreciation (10-Q p. 38–39 MD&amp;A).</w:t>
      </w:r>
    </w:p>
    <w:p>
      <w:r>
        <w:rPr>
          <w:rFonts w:ascii="Helvetica" w:hAnsi="Helvetica"/>
          <w:b/>
          <w:color w:val="333333"/>
          <w:sz w:val="20"/>
        </w:rPr>
        <w:t>Cost and margin:</w:t>
      </w:r>
      <w:r>
        <w:rPr>
          <w:rFonts w:ascii="Helvetica" w:hAnsi="Helvetica"/>
          <w:color w:val="333333"/>
          <w:sz w:val="20"/>
        </w:rPr>
        <w:t xml:space="preserve"> COGS was $1,498.8M in Q1 2026 vs. $1,319.2M in Q1 2025 (+13.6% YoY), substantially slower than revenue growth (+36.2%), which explains the +7.0 pp gross margin expansion. D&amp;A was $225.7M in Q1 2026 vs. $223.8M in Q1 2025, a modest +0.8% increase, so D&amp;A is not a driver. Total operating costs rose $184.7M YoY to $1,771.0M, driven by: (i) a $77.4M increase in metals purchased from third parties (primarily processed copper cathodes and concentrates), (ii) a $28.7M one-time solidarity contribution to social/development programs in Sonora, Mexico, (iii) $20.7M higher labor expenses, (iv) $18.0M higher workers' participation provisions (pre-tax profit-linked), and (v) $17.0M higher leachable material costs. Exchange rate variance provided a $31.6M YoY cost benefit (the Peruvian sol depreciated 3.2% vs. USD in Q1 2026, reducing USD-equivalent labor and local costs), and inventory reductions contributed a $24.8M benefit. The operating cash cost per pound before by-product revenues was $2.31/lb in Q1 2026 vs. $2.05/lb in Q1 2025 (+12.7%), reflecting the volume-dilution effect of -3.7% lower copper production pounds from own mines; but net of surging by-product credits ($2.41/lb credit vs. $1.29/lb in Q1 2025), the net operating cash cost turned negative at ($0.11)/lb vs. a cost of $0.77/lb in Q1 2025 — an industry-leading position (10-Q p. 41–42, 55).</w:t>
      </w:r>
    </w:p>
    <w:p>
      <w:r>
        <w:rPr>
          <w:rFonts w:ascii="Helvetica" w:hAnsi="Helvetica"/>
          <w:b/>
          <w:color w:val="333333"/>
          <w:sz w:val="20"/>
        </w:rPr>
        <w:t>Below the line:</w:t>
      </w:r>
      <w:r>
        <w:rPr>
          <w:rFonts w:ascii="Helvetica" w:hAnsi="Helvetica"/>
          <w:color w:val="333333"/>
          <w:sz w:val="20"/>
        </w:rPr>
        <w:t xml:space="preserve"> Interest expense was $104.5M in Q1 2026 vs. $102.3M in Q1 2025, essentially flat (+2.1%). Capitalized interest was $14.7M in Q1 2026 vs. $10.4M in Q1 2025, reflecting growth in Tia Maria construction capitalization. Net non-operating expense was $36.3M in Q1 2026 vs. $57.0M in Q1 2025, an improvement of $20.7M; the Q1 2025 figure was inflated by a $9.9M asset impairment at the Tia Maria project which did not recur. The effective income tax rate increased to 36.5% in Q1 2026 from 36.0% in Q1 2025, driven by higher Peruvian and Mexican mining royalties on higher taxable profits; the total tax provision rose +67.2% to $891.0M. EPS (as reported in 10-Q: $1.92/share attributable to SCC) rose +66.8% YoY vs. $1.15/share in Q1 2025; the data pack EPS of $1.90 reflects the $1.90 restated figure after stock dividend adjustments. QoQ EPS improved from $1.50 to $1.90, a gain of +26.7% (10-Q p. 4, 37).</w:t>
      </w:r>
    </w:p>
    <w:p>
      <w:r>
        <w:rPr>
          <w:rFonts w:ascii="Helvetica" w:hAnsi="Helvetica"/>
          <w:color w:val="333333"/>
          <w:sz w:val="20"/>
        </w:rPr>
        <w:t>---</w:t>
      </w:r>
    </w:p>
    <w:p>
      <w:pPr>
        <w:pStyle w:val="Heading2"/>
      </w:pPr>
      <w:r>
        <w:rPr>
          <w:rFonts w:ascii="Helvetica" w:hAnsi="Helvetica"/>
          <w:b/>
          <w:color w:val="6B000C"/>
          <w:sz w:val="32"/>
        </w:rPr>
        <w:t>7.3 Balance Sheet &amp; Cash Flow</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2026</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YoY Δ</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Q4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QoQ Δ</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4,915.4M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4,116.3M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4,304.6M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+14.2%</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~$1,402M*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LTM 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~0.15×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Assets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21,929.9M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19,791.2M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21,381.4M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11,787.6M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9,568.3M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11,038.1M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OCF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1,694.5M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721.4M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1,494.3M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-441.9M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-317.8M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−39.0% (spending increased $124.1M)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-422.6M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 (spending increased $19.3M)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1,252.6M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Dividends Paid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-819.2M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-553.3M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−48.1% (outflow increased $265.9M)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-731.1M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 (outflow increased $88.1M)</w:t>
            </w:r>
          </w:p>
        </w:tc>
      </w:tr>
    </w:tbl>
    <w:p>
      <w:r>
        <w:rPr>
          <w:rFonts w:ascii="Helvetica" w:hAnsi="Helvetica"/>
          <w:i/>
          <w:color w:val="333333"/>
          <w:sz w:val="20"/>
        </w:rPr>
        <w:t>YoY and QoQ computation examples:</w:t>
      </w:r>
    </w:p>
    <w:p>
      <w:r>
        <w:rPr>
          <w:rFonts w:ascii="Helvetica" w:hAnsi="Helvetica"/>
          <w:color w:val="333333"/>
          <w:sz w:val="20"/>
        </w:rPr>
        <w:t xml:space="preserve">- </w:t>
      </w:r>
      <w:r>
        <w:rPr>
          <w:rFonts w:ascii="Helvetica" w:hAnsi="Helvetica"/>
          <w:i/>
          <w:color w:val="333333"/>
          <w:sz w:val="20"/>
        </w:rPr>
        <w:t>Cash YoY: (4,915.4 − 4,116.3) / |4,116.3| × 100 = +19.4%</w:t>
      </w:r>
    </w:p>
    <w:p>
      <w:r>
        <w:rPr>
          <w:rFonts w:ascii="Helvetica" w:hAnsi="Helvetica"/>
          <w:color w:val="333333"/>
          <w:sz w:val="20"/>
        </w:rPr>
        <w:t xml:space="preserve">- </w:t>
      </w:r>
      <w:r>
        <w:rPr>
          <w:rFonts w:ascii="Helvetica" w:hAnsi="Helvetica"/>
          <w:i/>
          <w:color w:val="333333"/>
          <w:sz w:val="20"/>
        </w:rPr>
        <w:t>Cash QoQ: (4,915.4 − 4,304.6) / |4,304.6| × 100 = +14.2%</w:t>
      </w:r>
    </w:p>
    <w:p>
      <w:r>
        <w:rPr>
          <w:rFonts w:ascii="Helvetica" w:hAnsi="Helvetica"/>
          <w:color w:val="333333"/>
          <w:sz w:val="20"/>
        </w:rPr>
        <w:t xml:space="preserve">- </w:t>
      </w:r>
      <w:r>
        <w:rPr>
          <w:rFonts w:ascii="Helvetica" w:hAnsi="Helvetica"/>
          <w:i/>
          <w:color w:val="333333"/>
          <w:sz w:val="20"/>
        </w:rPr>
        <w:t>OCF YoY: (1,694.5 − 721.4) / |721.4| × 100 = +134.9%</w:t>
      </w:r>
    </w:p>
    <w:p>
      <w:r>
        <w:rPr>
          <w:rFonts w:ascii="Helvetica" w:hAnsi="Helvetica"/>
          <w:color w:val="333333"/>
          <w:sz w:val="20"/>
        </w:rPr>
        <w:t xml:space="preserve">- </w:t>
      </w:r>
      <w:r>
        <w:rPr>
          <w:rFonts w:ascii="Helvetica" w:hAnsi="Helvetica"/>
          <w:i/>
          <w:color w:val="333333"/>
          <w:sz w:val="20"/>
        </w:rPr>
        <w:t>Total Assets YoY: (21,929.9 − 19,791.2) / |19,791.2| × 100 = +10.8%</w:t>
      </w:r>
    </w:p>
    <w:p>
      <w:r>
        <w:rPr>
          <w:rFonts w:ascii="Helvetica" w:hAnsi="Helvetica"/>
          <w:color w:val="333333"/>
          <w:sz w:val="20"/>
        </w:rPr>
        <w:t xml:space="preserve">- </w:t>
      </w:r>
      <w:r>
        <w:rPr>
          <w:rFonts w:ascii="Helvetica" w:hAnsi="Helvetica"/>
          <w:i/>
          <w:color w:val="333333"/>
          <w:sz w:val="20"/>
        </w:rPr>
        <w:t>Equity YoY: (11,787.6 − 9,568.3) / |9,568.3| × 100 = +23.2%</w:t>
      </w:r>
    </w:p>
    <w:p>
      <w:r>
        <w:rPr>
          <w:rFonts w:ascii="Helvetica" w:hAnsi="Helvetica"/>
          <w:color w:val="333333"/>
          <w:sz w:val="20"/>
        </w:rPr>
        <w:t xml:space="preserve">- </w:t>
      </w:r>
      <w:r>
        <w:rPr>
          <w:rFonts w:ascii="Helvetica" w:hAnsi="Helvetica"/>
          <w:i/>
          <w:color w:val="333333"/>
          <w:sz w:val="20"/>
        </w:rPr>
        <w:t>CapEx note: CapEx is stored as negative (outflow). YoY "change" in outflow: (−441.9 − (−317.8)) / |−317.8| × 100 = −124.1 / 317.8 = 39.0% more spending. Described as outflow in prose.</w:t>
      </w:r>
    </w:p>
    <w:p>
      <w:r>
        <w:rPr>
          <w:rFonts w:ascii="Helvetica" w:hAnsi="Helvetica"/>
          <w:color w:val="333333"/>
          <w:sz w:val="20"/>
        </w:rPr>
        <w:t xml:space="preserve">- </w:t>
      </w:r>
      <w:r>
        <w:rPr>
          <w:rFonts w:ascii="Helvetica" w:hAnsi="Helvetica"/>
          <w:i/>
          <w:color w:val="333333"/>
          <w:sz w:val="20"/>
        </w:rPr>
        <w:t>Dividends similarly stored as negative outflows. YoY increase in outflow: (−819.2 − (−553.3)) / |−553.3| × 100 = 48.1% more paid.</w:t>
      </w:r>
    </w:p>
    <w:p>
      <w:pPr>
        <w:jc w:val="left"/>
      </w:pPr>
      <w:r>
        <w:rPr>
          <w:rFonts w:ascii="Helvetica" w:hAnsi="Helvetica"/>
          <w:i/>
          <w:color w:val="666666"/>
          <w:sz w:val="18"/>
        </w:rPr>
        <w:t>Source: SCCO Form 10-Q for the period ended March 31, 2026 — Balance Sheet (p. 6) and Statements of Cash Flows (p. 7)*</w:t>
      </w:r>
    </w:p>
    <w:p>
      <w:r>
        <w:rPr>
          <w:rFonts w:ascii="Helvetica" w:hAnsi="Helvetica"/>
          <w:b/>
          <w:color w:val="333333"/>
          <w:sz w:val="20"/>
        </w:rPr>
        <w:t>Balance sheet note:</w:t>
      </w:r>
      <w:r>
        <w:rPr>
          <w:rFonts w:ascii="Helvetica" w:hAnsi="Helvetica"/>
          <w:color w:val="333333"/>
          <w:sz w:val="20"/>
        </w:rPr>
        <w:t xml:space="preserve"> Cash grew by $610.8M in Q1 2026 to $4,915.4M, even after paying $819.2M in cash dividends (10-Q p. 7), reflecting strong operating cash generation of $1,694.5M. The balance sheet shows accounts receivable at $2,016.3M (up from $1,951.2M at Dec 31, 2025), largely reflecting provisionally-priced copper sales of 236.5M lbs at $5.59/lb (embedded derivatives mark-to-market at $1,248.2M for copper alone — 10-Q p. 32); this creates a modest price risk if copper retreats before settlement (April–August 2026 settlement window).</w:t>
      </w:r>
    </w:p>
    <w:p>
      <w:r>
        <w:rPr>
          <w:rFonts w:ascii="Helvetica" w:hAnsi="Helvetica"/>
          <w:b/>
          <w:color w:val="333333"/>
          <w:sz w:val="20"/>
        </w:rPr>
        <w:t>Cash flow note:</w:t>
      </w:r>
      <w:r>
        <w:rPr>
          <w:rFonts w:ascii="Helvetica" w:hAnsi="Helvetica"/>
          <w:color w:val="333333"/>
          <w:sz w:val="20"/>
        </w:rPr>
        <w:t xml:space="preserve"> FCF conversion = FCF / Net Income = $1,252.6M / $1,553.2M × 100 = 80.6%. OCF of $1,694.5M tracked net income of $1,553.2M (pre-affiliate earnings) closely, with net income representing 93.3% of OCF (per 10-Q p. 53). The gap between OCF and net income is explained by D&amp;A add-back of $225.7M, partially offset by $65.1M increase in trade receivables (rising metal prices) and $109.9M decrease in accrued payables/liabilities (income tax payments at Peruvian and Mexican operations). CapEx of $441.9M — a 39.0% increase from $317.8M in Q1 2025 — consumed most of the remaining OCF, with Tia Maria accounting for $90.2M of Peruvian capex (10-Q p. 53).</w:t>
      </w:r>
    </w:p>
    <w:p>
      <w:r>
        <w:rPr>
          <w:rFonts w:ascii="Helvetica" w:hAnsi="Helvetica"/>
          <w:color w:val="333333"/>
          <w:sz w:val="20"/>
        </w:rPr>
        <w:t>---</w:t>
      </w:r>
    </w:p>
    <w:p>
      <w:pPr>
        <w:pStyle w:val="Heading2"/>
      </w:pPr>
      <w:r>
        <w:rPr>
          <w:rFonts w:ascii="Helvetica" w:hAnsi="Helvetica"/>
          <w:b/>
          <w:color w:val="6B000C"/>
          <w:sz w:val="32"/>
        </w:rPr>
        <w:t>7.4 Footnote Review</w:t>
      </w:r>
    </w:p>
    <w:p>
      <w:r>
        <w:rPr>
          <w:rFonts w:ascii="Helvetica" w:hAnsi="Helvetica"/>
          <w:b/>
          <w:color w:val="333333"/>
          <w:sz w:val="20"/>
        </w:rPr>
        <w:t>Note 1 — Description of the Business (10-Q p. 9)</w:t>
      </w:r>
    </w:p>
    <w:p>
      <w:r>
        <w:rPr>
          <w:rFonts w:ascii="Helvetica" w:hAnsi="Helvetica"/>
          <w:color w:val="333333"/>
          <w:sz w:val="20"/>
        </w:rPr>
        <w:t>Grupo Mexico, through Americas Mining Corporation (AMC), owned 88.9% of SCC's capital stock as of March 31, 2026. This is unchanged from the year-end 2025 disclosure; AMC's ownership concentration persists. Analytical significance: the 88.9% controlling stake is the structural foundation of the governance risk embedded in the investment thesis — no material change this quarter.</w:t>
      </w:r>
    </w:p>
    <w:p>
      <w:r>
        <w:rPr>
          <w:rFonts w:ascii="Helvetica" w:hAnsi="Helvetica"/>
          <w:b/>
          <w:color w:val="333333"/>
          <w:sz w:val="20"/>
        </w:rPr>
        <w:t>Note 2 — Short-Term Investments (10-Q p. 9–10)</w:t>
      </w:r>
    </w:p>
    <w:p>
      <w:r>
        <w:rPr>
          <w:rFonts w:ascii="Helvetica" w:hAnsi="Helvetica"/>
          <w:color w:val="333333"/>
          <w:sz w:val="20"/>
        </w:rPr>
        <w:t>Short-term investments totaled $434.1M at Q1 2026 vs. $604.6M at Dec 31, 2025 (PQ), a decrease of $170.5M, consistent with the $170.5M in net proceeds from short-term investment sales shown in the cash flow statement. Investments consist of trading securities ($434.0M, weighted average interest rate 3.9%) and available-for-sale securities ($0.1M, rate 0.8%). Compared to Q1 2025, when the Company issued $993.8M in new debt and was accumulating liquidity, the investment portfolio is now smaller and partially liquidated, not refinanced. Interest earned on trading securities was $15.3M in Q1 2026 vs. $9.6M in Q1 2025 — a 59% increase despite a lower portfolio balance, reflecting higher interest rates on bonds held. Confirmed changed vs. Q1 2025 in the portfolio balance. Analytical significance: minor; the liquidity pool remains very large ($4,915.4M cash + $434.1M STI = $5,349.5M liquid assets).</w:t>
      </w:r>
    </w:p>
    <w:p>
      <w:r>
        <w:rPr>
          <w:rFonts w:ascii="Helvetica" w:hAnsi="Helvetica"/>
          <w:b/>
          <w:color w:val="333333"/>
          <w:sz w:val="20"/>
        </w:rPr>
        <w:t>Note 3 — Inventories (10-Q p. 10)</w:t>
      </w:r>
    </w:p>
    <w:p>
      <w:r>
        <w:rPr>
          <w:rFonts w:ascii="Helvetica" w:hAnsi="Helvetica"/>
          <w:color w:val="333333"/>
          <w:sz w:val="20"/>
        </w:rPr>
        <w:t>Total current inventory was $959.2M at Q1 2026, down from $1,058.1M at Dec 31, 2025 (−$98.9M). Within current inventory: finished goods fell from $68.3M to $55.4M, work-in-process fell from $327.9M to $263.3M, and current ore stockpiles on leach pads fell from $238.6M to $223.7M. Supplies declined slightly from $423.3M to $416.8M. Long-term ore stockpiles on leach pads remained essentially flat at $1,116.0M vs. $1,114.5M at Dec 31, 2025. During Q1 2026, leaching costs capitalized as non-current inventory totaled $55.9M (vs. $69.2M in Q1 2025 — a decline of $13.3M), while leaching inventories recognized in cost of sales were $69.3M (vs. $58.0M in Q1 2025 — an increase of $11.3M). This means the flow of leach inventory from stockpile to cost of sales accelerated in Q1 2026 vs. Q1 2025. Analytical significance: The $1,116.0M long-term leach pad stockpile is a non-cash asset representing slow-release copper extraction; it did not change materially QoQ and remains a key long-duration asset requiring scrutiny in any reserve or impairment analysis.</w:t>
      </w:r>
    </w:p>
    <w:p>
      <w:r>
        <w:rPr>
          <w:rFonts w:ascii="Helvetica" w:hAnsi="Helvetica"/>
          <w:b/>
          <w:color w:val="333333"/>
          <w:sz w:val="20"/>
        </w:rPr>
        <w:t>Note 4 — Income Taxes (10-Q p. 10–11)</w:t>
      </w:r>
    </w:p>
    <w:p>
      <w:r>
        <w:rPr>
          <w:rFonts w:ascii="Helvetica" w:hAnsi="Helvetica"/>
          <w:color w:val="333333"/>
          <w:sz w:val="20"/>
        </w:rPr>
        <w:t>The effective income tax rate increased from 36.0% in Q1 2025 to 36.5% in Q1 2026. Total tax provision was $891.0M in Q1 2026 vs. $532.8M in Q1 2025 (+67.2%). Breakdown: statutory income tax $730.7M (vs. $445.3M), Peruvian royalty $33.5M (vs. $15.1M), Mexican royalty $83.0M (vs. $47.4M), Peruvian special mining tax $43.8M (vs. $25.0M). The driver is mechanically higher profits in both jurisdictions — royalties and special mining taxes are levied as a percentage of taxable profits. The "One Big Beautiful Bill Act" (signed July 4, 2025) did not materially affect SCCO's financial statements. Pillar Two (15% global minimum tax) has not been enacted by Peru or Mexico and is not currently affecting the Company. A $0.7M increase in current Peruvian uncertain tax position liability; net current liability of $15.2M in Peru. Analytical significance: The tax structure penalizes high commodity prices disproportionately — at higher copper prices, each incremental dollar of revenue carries an increasing effective tax burden via royalties. This compresses the operating leverage to revenue for equity holders.</w:t>
      </w:r>
    </w:p>
    <w:p>
      <w:r>
        <w:rPr>
          <w:rFonts w:ascii="Helvetica" w:hAnsi="Helvetica"/>
          <w:b/>
          <w:color w:val="333333"/>
          <w:sz w:val="20"/>
        </w:rPr>
        <w:t>Note 5 — Related Party Transactions (10-Q p. 11–15)</w:t>
      </w:r>
    </w:p>
    <w:p>
      <w:r>
        <w:rPr>
          <w:rFonts w:ascii="Helvetica" w:hAnsi="Helvetica"/>
          <w:color w:val="333333"/>
          <w:sz w:val="20"/>
        </w:rPr>
        <w:t>This is a forensic-flag note. Full disclosure below.</w:t>
      </w:r>
    </w:p>
    <w:p>
      <w:r>
        <w:rPr>
          <w:rFonts w:ascii="Helvetica" w:hAnsi="Helvetica"/>
          <w:i/>
          <w:color w:val="333333"/>
          <w:sz w:val="20"/>
        </w:rPr>
        <w:t>Receivable and payable balances with Grupo México affiliates (Q1 2026 vs. Dec 31, 2025):</w:t>
      </w:r>
    </w:p>
    <w:p>
      <w:r>
        <w:rPr>
          <w:rFonts w:ascii="Helvetica" w:hAnsi="Helvetica"/>
          <w:color w:val="333333"/>
          <w:sz w:val="20"/>
        </w:rPr>
        <w:t>Related parties receivable (current):</w:t>
      </w:r>
    </w:p>
    <w:p>
      <w:r>
        <w:rPr>
          <w:rFonts w:ascii="Helvetica" w:hAnsi="Helvetica"/>
          <w:color w:val="333333"/>
          <w:sz w:val="20"/>
        </w:rPr>
        <w:t>- Asarco LLC: $7.8M (Q1 2026) vs. $7.1M (Dec 31, 2025)</w:t>
      </w:r>
    </w:p>
    <w:p>
      <w:r>
        <w:rPr>
          <w:rFonts w:ascii="Helvetica" w:hAnsi="Helvetica"/>
          <w:color w:val="333333"/>
          <w:sz w:val="20"/>
        </w:rPr>
        <w:t>- Mexico Generadora de Energia (MGE): $2.0M vs. $7.6M — declined $5.6M QoQ</w:t>
      </w:r>
    </w:p>
    <w:p>
      <w:r>
        <w:rPr>
          <w:rFonts w:ascii="Helvetica" w:hAnsi="Helvetica"/>
          <w:color w:val="333333"/>
          <w:sz w:val="20"/>
        </w:rPr>
        <w:t>- Empresarios Industriales de Mexico: $1.7M vs. $1.5M</w:t>
      </w:r>
    </w:p>
    <w:p>
      <w:r>
        <w:rPr>
          <w:rFonts w:ascii="Helvetica" w:hAnsi="Helvetica"/>
          <w:color w:val="333333"/>
          <w:sz w:val="20"/>
        </w:rPr>
        <w:t>- AMMINCO: &lt;$0.1M; Ferrocarril Mexicano: &lt;$0.1M; Mexico Compania Constructora: &lt;$0.1M; Mextransport: $0.2M; Operadora de Cinemas: $0.1M</w:t>
      </w:r>
    </w:p>
    <w:p>
      <w:r>
        <w:rPr>
          <w:rFonts w:ascii="Helvetica" w:hAnsi="Helvetica"/>
          <w:color w:val="333333"/>
          <w:sz w:val="20"/>
        </w:rPr>
        <w:t>- Total: $11.9M (Q1 2026) vs. $16.2M (Dec 31, 2025)</w:t>
      </w:r>
    </w:p>
    <w:p>
      <w:r>
        <w:rPr>
          <w:rFonts w:ascii="Helvetica" w:hAnsi="Helvetica"/>
          <w:color w:val="333333"/>
          <w:sz w:val="20"/>
        </w:rPr>
        <w:t>Related parties payable:</w:t>
      </w:r>
    </w:p>
    <w:p>
      <w:r>
        <w:rPr>
          <w:rFonts w:ascii="Helvetica" w:hAnsi="Helvetica"/>
          <w:color w:val="333333"/>
          <w:sz w:val="20"/>
        </w:rPr>
        <w:t>- Asarco LLC: $52.7M (Q1 2026) vs. $61.1M (Dec 31, 2025) — declined $8.4M QoQ</w:t>
      </w:r>
    </w:p>
    <w:p>
      <w:r>
        <w:rPr>
          <w:rFonts w:ascii="Helvetica" w:hAnsi="Helvetica"/>
          <w:color w:val="333333"/>
          <w:sz w:val="20"/>
        </w:rPr>
        <w:t>- MGE: $32.1M vs. $30.2M — increased $1.9M QoQ</w:t>
      </w:r>
    </w:p>
    <w:p>
      <w:r>
        <w:rPr>
          <w:rFonts w:ascii="Helvetica" w:hAnsi="Helvetica"/>
          <w:color w:val="333333"/>
          <w:sz w:val="20"/>
        </w:rPr>
        <w:t>- AMMINCO: $15.8M vs. $15.9M — flat</w:t>
      </w:r>
    </w:p>
    <w:p>
      <w:r>
        <w:rPr>
          <w:rFonts w:ascii="Helvetica" w:hAnsi="Helvetica"/>
          <w:color w:val="333333"/>
          <w:sz w:val="20"/>
        </w:rPr>
        <w:t>- Parque Eolico de Fenicias: $8.0M vs. $7.5M — increased $0.5M QoQ</w:t>
      </w:r>
    </w:p>
    <w:p>
      <w:r>
        <w:rPr>
          <w:rFonts w:ascii="Helvetica" w:hAnsi="Helvetica"/>
          <w:color w:val="333333"/>
          <w:sz w:val="20"/>
        </w:rPr>
        <w:t>- Mexico Compania Constructora: $8.6M vs. $12.4M — declined $3.8M</w:t>
      </w:r>
    </w:p>
    <w:p>
      <w:r>
        <w:rPr>
          <w:rFonts w:ascii="Helvetica" w:hAnsi="Helvetica"/>
          <w:color w:val="333333"/>
          <w:sz w:val="20"/>
        </w:rPr>
        <w:t>- Ferrocarril Mexicano: $7.5M vs. $4.0M — increased $3.5M QoQ</w:t>
      </w:r>
    </w:p>
    <w:p>
      <w:r>
        <w:rPr>
          <w:rFonts w:ascii="Helvetica" w:hAnsi="Helvetica"/>
          <w:color w:val="333333"/>
          <w:sz w:val="20"/>
        </w:rPr>
        <w:t>- Grupo Mexico Servicios de Ingenieria: $3.7M vs. $2.3M — increased $1.4M</w:t>
      </w:r>
    </w:p>
    <w:p>
      <w:r>
        <w:rPr>
          <w:rFonts w:ascii="Helvetica" w:hAnsi="Helvetica"/>
          <w:color w:val="333333"/>
          <w:sz w:val="20"/>
        </w:rPr>
        <w:t>- Grupo Mexico Servicios: $3.1M vs. $3.3M — flat</w:t>
      </w:r>
    </w:p>
    <w:p>
      <w:r>
        <w:rPr>
          <w:rFonts w:ascii="Helvetica" w:hAnsi="Helvetica"/>
          <w:color w:val="333333"/>
          <w:sz w:val="20"/>
        </w:rPr>
        <w:t>- Eolica El Retiro: $0.4M vs. $0.3M — flat</w:t>
      </w:r>
    </w:p>
    <w:p>
      <w:r>
        <w:rPr>
          <w:rFonts w:ascii="Helvetica" w:hAnsi="Helvetica"/>
          <w:color w:val="333333"/>
          <w:sz w:val="20"/>
        </w:rPr>
        <w:t>- Boutique Bowling: $0.9M vs. $0.8M; Mextransport: $0.4M vs. $0.4M; Operadora de Cinemas: $0.4M vs. $0.3M</w:t>
      </w:r>
    </w:p>
    <w:p>
      <w:r>
        <w:rPr>
          <w:rFonts w:ascii="Helvetica" w:hAnsi="Helvetica"/>
          <w:color w:val="333333"/>
          <w:sz w:val="20"/>
        </w:rPr>
        <w:t>- Total: $133.4M (Q1 2026) vs. $138.4M (Dec 31, 2025)</w:t>
      </w:r>
    </w:p>
    <w:p>
      <w:r>
        <w:rPr>
          <w:rFonts w:ascii="Helvetica" w:hAnsi="Helvetica"/>
          <w:i/>
          <w:color w:val="333333"/>
          <w:sz w:val="20"/>
        </w:rPr>
        <w:t>Purchase activity — Grupo México affiliates (Q1 2026 vs. Q1 2025):</w:t>
      </w:r>
    </w:p>
    <w:p>
      <w:r>
        <w:rPr>
          <w:rFonts w:ascii="Helvetica" w:hAnsi="Helvetica"/>
          <w:color w:val="333333"/>
          <w:sz w:val="20"/>
        </w:rPr>
        <w:t xml:space="preserve">- Asarco LLC: $1.2M (Q1 2026) vs. $7.8M (Q1 2025) — </w:t>
      </w:r>
      <w:r>
        <w:rPr>
          <w:rFonts w:ascii="Helvetica" w:hAnsi="Helvetica"/>
          <w:b/>
          <w:color w:val="333333"/>
          <w:sz w:val="20"/>
        </w:rPr>
        <w:t>down $6.6M YoY (−85%). Asarco purchases collapsed.</w:t>
      </w:r>
      <w:r>
        <w:rPr>
          <w:rFonts w:ascii="Helvetica" w:hAnsi="Helvetica"/>
          <w:color w:val="333333"/>
          <w:sz w:val="20"/>
        </w:rPr>
        <w:t xml:space="preserve"> The previous forensic flag F001/F002/F003 noted Asarco purchases surged 15× in FY2025; this quarter's $1.2M represents a sharp reversal and suggests either a one-time surge in FY2025 or a change in sourcing. This is a material change requiring monitoring.</w:t>
      </w:r>
    </w:p>
    <w:p>
      <w:r>
        <w:rPr>
          <w:rFonts w:ascii="Helvetica" w:hAnsi="Helvetica"/>
          <w:color w:val="333333"/>
          <w:sz w:val="20"/>
        </w:rPr>
        <w:t>- MGE (power): $51.3M vs. $59.7M — down $8.4M YoY (−14.1%). MGE supplied approximately 15.1% of its output to third-party energy users in Q1 2026 vs. only 3.7% in Q1 2025 — meaning SCCO absorbed less power from MGE as a share of MGE's output. Power cost declined despite this being a related-party contract through 2032 at fixed/formula terms.</w:t>
      </w:r>
    </w:p>
    <w:p>
      <w:r>
        <w:rPr>
          <w:rFonts w:ascii="Helvetica" w:hAnsi="Helvetica"/>
          <w:color w:val="333333"/>
          <w:sz w:val="20"/>
        </w:rPr>
        <w:t>- Mexico Compania Constructora: $9.5M vs. $14.2M — down $4.7M YoY (−33.1%)</w:t>
      </w:r>
    </w:p>
    <w:p>
      <w:r>
        <w:rPr>
          <w:rFonts w:ascii="Helvetica" w:hAnsi="Helvetica"/>
          <w:color w:val="333333"/>
          <w:sz w:val="20"/>
        </w:rPr>
        <w:t>- Parque Eolico de Fenicias: $10.7M vs. $8.6M — up $2.1M YoY (+24.4%). Parque Eolico supplied 88.1% of its output to IMMSA/Mexcobre, vs. 74.8% in Q1 2025. SCCO is absorbing a larger share.</w:t>
      </w:r>
    </w:p>
    <w:p>
      <w:r>
        <w:rPr>
          <w:rFonts w:ascii="Helvetica" w:hAnsi="Helvetica"/>
          <w:color w:val="333333"/>
          <w:sz w:val="20"/>
        </w:rPr>
        <w:t>- Ferrocarril Mexicano: $6.8M vs. $5.5M — up $1.3M YoY</w:t>
      </w:r>
    </w:p>
    <w:p>
      <w:r>
        <w:rPr>
          <w:rFonts w:ascii="Helvetica" w:hAnsi="Helvetica"/>
          <w:color w:val="333333"/>
          <w:sz w:val="20"/>
        </w:rPr>
        <w:t>- Grupo Mexico Servicios: $5.4M vs. $5.0M — up $0.4M YoY</w:t>
      </w:r>
    </w:p>
    <w:p>
      <w:r>
        <w:rPr>
          <w:rFonts w:ascii="Helvetica" w:hAnsi="Helvetica"/>
          <w:color w:val="333333"/>
          <w:sz w:val="20"/>
        </w:rPr>
        <w:t>- AMMINCO (admin): $3.0M vs. $2.5M — up $0.5M YoY</w:t>
      </w:r>
    </w:p>
    <w:p>
      <w:r>
        <w:rPr>
          <w:rFonts w:ascii="Helvetica" w:hAnsi="Helvetica"/>
          <w:color w:val="333333"/>
          <w:sz w:val="20"/>
        </w:rPr>
        <w:t>- Grupo Mexico Servicios de Ingenieria: $5.8M vs. $2.3M — up $3.5M YoY (+152%). Sharp increase in engineering services charged by a Grupo México subsidiary.</w:t>
      </w:r>
    </w:p>
    <w:p>
      <w:r>
        <w:rPr>
          <w:rFonts w:ascii="Helvetica" w:hAnsi="Helvetica"/>
          <w:color w:val="333333"/>
          <w:sz w:val="20"/>
        </w:rPr>
        <w:t>- Eolica El Retiro: $0.1M vs. $0.4M — down $0.3M</w:t>
      </w:r>
    </w:p>
    <w:p>
      <w:r>
        <w:rPr>
          <w:rFonts w:ascii="Helvetica" w:hAnsi="Helvetica"/>
          <w:color w:val="333333"/>
          <w:sz w:val="20"/>
        </w:rPr>
        <w:t xml:space="preserve">- </w:t>
      </w:r>
      <w:r>
        <w:rPr>
          <w:rFonts w:ascii="Helvetica" w:hAnsi="Helvetica"/>
          <w:b/>
          <w:color w:val="333333"/>
          <w:sz w:val="20"/>
        </w:rPr>
        <w:t>Total Grupo México affiliate purchases: $93.8M (Q1 2026) vs. $106.2M (Q1 2025) — down $12.4M YoY (−11.7%).</w:t>
      </w:r>
      <w:r>
        <w:rPr>
          <w:rFonts w:ascii="Helvetica" w:hAnsi="Helvetica"/>
          <w:color w:val="333333"/>
          <w:sz w:val="20"/>
        </w:rPr>
        <w:t xml:space="preserve"> Aggregate purchases from affiliates declined, driven by Asarco collapse and lower MGE power costs, partially offset by higher Parque Eolico and engineering services.</w:t>
      </w:r>
    </w:p>
    <w:p>
      <w:r>
        <w:rPr>
          <w:rFonts w:ascii="Helvetica" w:hAnsi="Helvetica"/>
          <w:i/>
          <w:color w:val="333333"/>
          <w:sz w:val="20"/>
        </w:rPr>
        <w:t>Sale activity — Grupo México affiliates (Q1 2026 vs. Q1 2025):</w:t>
      </w:r>
    </w:p>
    <w:p>
      <w:r>
        <w:rPr>
          <w:rFonts w:ascii="Helvetica" w:hAnsi="Helvetica"/>
          <w:color w:val="333333"/>
          <w:sz w:val="20"/>
        </w:rPr>
        <w:t>- Asarco LLC: $13.0M vs. $13.0M — unchanged</w:t>
      </w:r>
    </w:p>
    <w:p>
      <w:r>
        <w:rPr>
          <w:rFonts w:ascii="Helvetica" w:hAnsi="Helvetica"/>
          <w:color w:val="333333"/>
          <w:sz w:val="20"/>
        </w:rPr>
        <w:t xml:space="preserve">- MGE: $6.8M vs. $18.4M — </w:t>
      </w:r>
      <w:r>
        <w:rPr>
          <w:rFonts w:ascii="Helvetica" w:hAnsi="Helvetica"/>
          <w:b/>
          <w:color w:val="333333"/>
          <w:sz w:val="20"/>
        </w:rPr>
        <w:t>down $11.6M YoY (−63.1%).</w:t>
      </w:r>
      <w:r>
        <w:rPr>
          <w:rFonts w:ascii="Helvetica" w:hAnsi="Helvetica"/>
          <w:color w:val="333333"/>
          <w:sz w:val="20"/>
        </w:rPr>
        <w:t xml:space="preserve"> SCCO sold significantly less to MGE (natural gas, services). Changed meaningfully.</w:t>
      </w:r>
    </w:p>
    <w:p>
      <w:r>
        <w:rPr>
          <w:rFonts w:ascii="Helvetica" w:hAnsi="Helvetica"/>
          <w:color w:val="333333"/>
          <w:sz w:val="20"/>
        </w:rPr>
        <w:t>- AMMINCO: &lt;$0.1M; Ferrocarril Mexicano: &lt;$0.1M</w:t>
      </w:r>
    </w:p>
    <w:p>
      <w:r>
        <w:rPr>
          <w:rFonts w:ascii="Helvetica" w:hAnsi="Helvetica"/>
          <w:color w:val="333333"/>
          <w:sz w:val="20"/>
        </w:rPr>
        <w:t xml:space="preserve">- </w:t>
      </w:r>
      <w:r>
        <w:rPr>
          <w:rFonts w:ascii="Helvetica" w:hAnsi="Helvetica"/>
          <w:b/>
          <w:color w:val="333333"/>
          <w:sz w:val="20"/>
        </w:rPr>
        <w:t>Total Grupo México affiliate sales: $19.8M (Q1 2026) vs. $31.4M (Q1 2025) — down $11.6M YoY (−36.9%).</w:t>
      </w:r>
    </w:p>
    <w:p>
      <w:r>
        <w:rPr>
          <w:rFonts w:ascii="Helvetica" w:hAnsi="Helvetica"/>
          <w:i/>
          <w:color w:val="333333"/>
          <w:sz w:val="20"/>
        </w:rPr>
        <w:t>Companies related to Larrea family (Q1 2026 vs. Q1 2025):</w:t>
      </w:r>
    </w:p>
    <w:p>
      <w:r>
        <w:rPr>
          <w:rFonts w:ascii="Helvetica" w:hAnsi="Helvetica"/>
          <w:color w:val="333333"/>
          <w:sz w:val="20"/>
        </w:rPr>
        <w:t>- Total purchases: $0.8M vs. $1.0M — unchanged/immaterial</w:t>
      </w:r>
    </w:p>
    <w:p>
      <w:r>
        <w:rPr>
          <w:rFonts w:ascii="Helvetica" w:hAnsi="Helvetica"/>
          <w:color w:val="333333"/>
          <w:sz w:val="20"/>
        </w:rPr>
        <w:t>- Total sales: $0.9M vs. $0.8M — unchanged/immaterial</w:t>
      </w:r>
    </w:p>
    <w:p>
      <w:r>
        <w:rPr>
          <w:rFonts w:ascii="Helvetica" w:hAnsi="Helvetica"/>
          <w:color w:val="333333"/>
          <w:sz w:val="20"/>
        </w:rPr>
        <w:t>Terms of governance: Article Nine of the certificate of incorporation requires Audit Committee review for Material Affiliate Transactions above $10.0M. MGE's power contract was signed in 2012, valid through 2032 (fixed contractual terms). Parque Eolico de Fenicias contract was signed February 2020, 20 years, 611,400 MWh/year. No new material affiliate contracts were disclosed this quarter.</w:t>
      </w:r>
    </w:p>
    <w:p>
      <w:r>
        <w:rPr>
          <w:rFonts w:ascii="Helvetica" w:hAnsi="Helvetica"/>
          <w:color w:val="333333"/>
          <w:sz w:val="20"/>
        </w:rPr>
        <w:t>Analytical significance: The aggregate net position (SCCO paid $93.8M to Grupo México affiliates and received $19.8M from them = net outflow of $74.0M in Q1 2026) is the key number. In Q1 2025, net outflow was $106.2M − $31.4M = $74.8M — essentially flat. The opaque energy and services contracts (MGE power through 2032; Parque Eolico through 2040) lock SCCO into related-party suppliers at non-market-validated pricing for up to 14 more years. The Asarco purchase collapse (from prior-year surge levels) is unexplained and merits follow-up at Q2 2026.</w:t>
      </w:r>
    </w:p>
    <w:p>
      <w:r>
        <w:rPr>
          <w:rFonts w:ascii="Helvetica" w:hAnsi="Helvetica"/>
          <w:b/>
          <w:color w:val="333333"/>
          <w:sz w:val="20"/>
        </w:rPr>
        <w:t>Note 6 — Leases (10-Q p. 15)</w:t>
      </w:r>
    </w:p>
    <w:p>
      <w:r>
        <w:rPr>
          <w:rFonts w:ascii="Helvetica" w:hAnsi="Helvetica"/>
          <w:color w:val="333333"/>
          <w:sz w:val="20"/>
        </w:rPr>
        <w:t>Operating leases cover power generating facilities, vehicles, and properties. Remaining lease terms up to seven years; weighted average remaining term approximately six years; weighted average discount rate 4.93%. Total operating lease expense was $29.4M in Q1 2026 vs. $28.8M in Q1 2025 — up $0.6M (+2.1%). Lease expense is almost entirely within cost of sales. Total remaining undiscounted lease payments: $759.1M ($88.5M in 2026, $117.4M in 2027, $116.8M in 2028, $114.7M in 2029, $107.0M in 2030, $214.7M after 2030); present value = $649.7M. Confirmed changed only marginally vs. Q1 2025 — one sentence confirmed. Analytical significance: Low; the operating lease structure is stable and immaterial relative to total revenues.</w:t>
      </w:r>
    </w:p>
    <w:p>
      <w:r>
        <w:rPr>
          <w:rFonts w:ascii="Helvetica" w:hAnsi="Helvetica"/>
          <w:b/>
          <w:color w:val="333333"/>
          <w:sz w:val="20"/>
        </w:rPr>
        <w:t>Note 7 — Asset Retirement Obligation (10-Q p. 15–16)</w:t>
      </w:r>
    </w:p>
    <w:p>
      <w:r>
        <w:rPr>
          <w:rFonts w:ascii="Helvetica" w:hAnsi="Helvetica"/>
          <w:color w:val="333333"/>
          <w:sz w:val="20"/>
        </w:rPr>
        <w:t>The ARO balance moved from $471.1M at January 1, 2026 to $485.0M at March 31, 2026. During Q1 2026: changes in estimates added $9.2M (vs. a $19.3M decrease in Q1 2025, reflecting a $106.7M downward revision to Mexican operations' ARO in the prior year). Closure payments were $1.1M (vs. $0.0M in Q1 2025). Accretion expense was $5.8M (vs. $6.0M in Q1 2025). Peru closure law compliance: total guarantees provided through January 2026 = $110.3M, covering the company's mine closure obligations for Toquepala, Cuajone, Ilo smelter/refinery. A new Peruvian regulation (published March 19, 2025) established a three-year period to update guarantee constitution for progressive closure — the Company is implementing but does not expect material financial impact. Mexico ARO: no new enacted law requires closure but constructive obligation exists. December 2025 estimate update for Peruvian facilities: $5.7M decrease in ARO obligation, $2.6M reduction in retirement asset, $3.1M recorded as reduction in COGS. Analytical significance: The Q1 2026 estimate increase of $9.2M vs. the prior-year $19.3M decrease signals a modest reversal, consistent with ongoing mine activity updates. No material change.</w:t>
      </w:r>
    </w:p>
    <w:p>
      <w:r>
        <w:rPr>
          <w:rFonts w:ascii="Helvetica" w:hAnsi="Helvetica"/>
          <w:b/>
          <w:color w:val="333333"/>
          <w:sz w:val="20"/>
        </w:rPr>
        <w:t>Note 8 — Benefit Plans (10-Q p. 16–17)</w:t>
      </w:r>
    </w:p>
    <w:p>
      <w:r>
        <w:rPr>
          <w:rFonts w:ascii="Helvetica" w:hAnsi="Helvetica"/>
          <w:color w:val="333333"/>
          <w:sz w:val="20"/>
        </w:rPr>
        <w:t>Mexican subsidiaries maintain a defined contribution pension (salaried) and defined benefit plan (union employees). The U.S. Expatriate Plan was terminated effective December 1, 2025; benefit obligations settled via annuity contracts; termination process expected complete by April 30, 2026. Net periodic benefit cost was ($0.8M) in Q1 2026 (a credit) vs. ($0.2M) in Q1 2025, due to expected return on plan assets ($2.3M) exceeding service cost ($0.8M) and interest cost ($1.0M). Post-retirement healthcare plan: net periodic cost $0.6M in Q1 2026 vs. $0.5M in Q1 2025 — essentially flat. Confirmed changed marginally vs. Q1 2025. Analytical significance: Benefit plan costs are immaterial relative to revenue; the Expatriate Plan termination removes a tail liability.</w:t>
      </w:r>
    </w:p>
    <w:p>
      <w:r>
        <w:rPr>
          <w:rFonts w:ascii="Helvetica" w:hAnsi="Helvetica"/>
          <w:b/>
          <w:color w:val="333333"/>
          <w:sz w:val="20"/>
        </w:rPr>
        <w:t>Note 9 — Commitments and Contingencies (10-Q p. 17–27)</w:t>
      </w:r>
    </w:p>
    <w:p>
      <w:r>
        <w:rPr>
          <w:rFonts w:ascii="Helvetica" w:hAnsi="Helvetica"/>
          <w:i/>
          <w:color w:val="333333"/>
          <w:sz w:val="20"/>
        </w:rPr>
        <w:t>Environmental matters:</w:t>
      </w:r>
      <w:r>
        <w:rPr>
          <w:rFonts w:ascii="Helvetica" w:hAnsi="Helvetica"/>
          <w:color w:val="333333"/>
          <w:sz w:val="20"/>
        </w:rPr>
        <w:t xml:space="preserve"> Environmental capital investment was $45.5M in Q1 2026 ($3.4M Peru + $42.1M Mexico) vs. $42.0M in Q1 2025 ($1.5M + $40.5M). Peru: the Company reports compliance with AQS for SO₂; Cadmium/Arsenic/Chromium monitoring shows values below regulatory limits. No material environmental regulatory proceeding disclosed.</w:t>
      </w:r>
    </w:p>
    <w:p>
      <w:r>
        <w:rPr>
          <w:rFonts w:ascii="Helvetica" w:hAnsi="Helvetica"/>
          <w:i/>
          <w:color w:val="333333"/>
          <w:sz w:val="20"/>
        </w:rPr>
        <w:t>Mexican Mining Law (enacted May 2023):</w:t>
      </w:r>
      <w:r>
        <w:rPr>
          <w:rFonts w:ascii="Helvetica" w:hAnsi="Helvetica"/>
          <w:color w:val="333333"/>
          <w:sz w:val="20"/>
        </w:rPr>
        <w:t xml:space="preserve"> Amendments (reducing concession terms from 50 to 30 years, new water use restrictions, 5% of net earnings to indigenous communities for new projects) are being challenged before the Supreme Court. The Company states no expected negative impact on existing operations.</w:t>
      </w:r>
    </w:p>
    <w:p>
      <w:r>
        <w:rPr>
          <w:rFonts w:ascii="Helvetica" w:hAnsi="Helvetica"/>
          <w:i/>
          <w:color w:val="333333"/>
          <w:sz w:val="20"/>
        </w:rPr>
        <w:t>Solidarity contribution — Sonora, Mexico (10-Q p. 27):</w:t>
      </w:r>
      <w:r>
        <w:rPr>
          <w:rFonts w:ascii="Helvetica" w:hAnsi="Helvetica"/>
          <w:color w:val="333333"/>
          <w:sz w:val="20"/>
        </w:rPr>
        <w:t xml:space="preserve"> In January 2026, the Board approved a voluntary contribution of up to 1.5 billion Mexican pesos (~$87M) to government programs in Sonora. On February 9, 2026, $29.0M (500M pesos) was paid to the Mexican Institute of Social Security in Sonora. This contributed $28.7M to the YoY cost increase identified in operating costs (10-Q p. 48). Analytical significance: A corporate social responsibility expenditure of up to $87M total for 2026, with $29M already paid in Q1 2026. This is not a one-time item — the up-to-$87M authorization spans 2026 and represents approximately 6% of Q1 2026 operating costs.</w:t>
      </w:r>
    </w:p>
    <w:p>
      <w:r>
        <w:rPr>
          <w:rFonts w:ascii="Helvetica" w:hAnsi="Helvetica"/>
          <w:i/>
          <w:color w:val="333333"/>
          <w:sz w:val="20"/>
        </w:rPr>
        <w:t>Peruvian Labor Shares litigation (10-Q p. 19–20):</w:t>
      </w:r>
      <w:r>
        <w:rPr>
          <w:rFonts w:ascii="Helvetica" w:hAnsi="Helvetica"/>
          <w:color w:val="333333"/>
          <w:sz w:val="20"/>
        </w:rPr>
        <w:t xml:space="preserve"> In 1996, former employees sued the Company seeking delivery of "labor shares" (10% profit participation in equity, per a 1979 Peruvian law since repealed). The case has been in execution stage for years. The Court ordered delivery of 8,488,383 investment shares. The Company filed appeals on December 30, 2025 and obtained a favorable constitutional court ruling on February 11, 2026 (Resolution No. 4, 9th Constitutional Court of Lima) declaring the automatic assimilation between "labor shares" and "investment shares" null and void. On February 24, 2026, the Constitutional Court ordered the First Civil Court to provisionally refrain from executing share transfers. As of March 31, 2026, the First Civil Court had not issued a ruling on the constitutional judgment. The potential contingency amount cannot be reasonably estimated by management. Analytical significance: This long-running case showed meaningful positive developments for the Company in Q1 2026 — the constitutional injunction effectively freezes any share transfers pending final resolution. No financial liability has been accrued.</w:t>
      </w:r>
    </w:p>
    <w:p>
      <w:r>
        <w:rPr>
          <w:rFonts w:ascii="Helvetica" w:hAnsi="Helvetica"/>
          <w:i/>
          <w:color w:val="333333"/>
          <w:sz w:val="20"/>
        </w:rPr>
        <w:t>Tia Maria litigation (10-Q p. 20–21):</w:t>
      </w:r>
      <w:r>
        <w:rPr>
          <w:rFonts w:ascii="Helvetica" w:hAnsi="Helvetica"/>
          <w:color w:val="333333"/>
          <w:sz w:val="20"/>
        </w:rPr>
        <w:t xml:space="preserve"> Eight active lawsuits challenging various aspects of the Tia Maria project's environmental approvals and concession. Recent developments: The Néstor Eloy Arocena Canazas case was filed December 2025, served March 4, 2026, answered March 18, 2026. The Gobierno Regional de Arequipa case: lower court ruled in SPCC's favor on January 23, 2026; plaintiff appealed and as of March 31, 2026, the case is pending in the Superior Court. The Torres Quispe case: lower court ruled in SPCC's favor on July 11, 2025; appeal pending. Management states these are without merit and potential contingency amounts cannot be reasonably estimated. Analytical significance: Tia Maria litigation is escalating in number (eight lawsuits now vs. six previously) but the legal trajectory on the key EIA validity question appears favorable — the Supreme Court already upheld the EIA in the Carpio Lazo case (notified February 22, 2022). Project construction continues at 32.5% completion as of March 31, 2026.</w:t>
      </w:r>
    </w:p>
    <w:p>
      <w:r>
        <w:rPr>
          <w:rFonts w:ascii="Helvetica" w:hAnsi="Helvetica"/>
          <w:i/>
          <w:color w:val="333333"/>
          <w:sz w:val="20"/>
        </w:rPr>
        <w:t>Pasto Grande Project (10-Q p. 21–22):</w:t>
      </w:r>
      <w:r>
        <w:rPr>
          <w:rFonts w:ascii="Helvetica" w:hAnsi="Helvetica"/>
          <w:color w:val="333333"/>
          <w:sz w:val="20"/>
        </w:rPr>
        <w:t xml:space="preserve"> Lawsuit from 2012 by Regional Government of Moquegua seeking demolition of a tailings dam at Toquepala/Cuajone operations. Contingency amount not reasonably estimable. Confirmed pending resolution without material change.</w:t>
      </w:r>
    </w:p>
    <w:p>
      <w:r>
        <w:rPr>
          <w:rFonts w:ascii="Helvetica" w:hAnsi="Helvetica"/>
          <w:i/>
          <w:color w:val="333333"/>
          <w:sz w:val="20"/>
        </w:rPr>
        <w:t>2014 Buenavista copper sulfate spill litigation (10-Q p. 22–24):</w:t>
      </w:r>
      <w:r>
        <w:rPr>
          <w:rFonts w:ascii="Helvetica" w:hAnsi="Helvetica"/>
          <w:color w:val="333333"/>
          <w:sz w:val="20"/>
        </w:rPr>
        <w:t xml:space="preserve"> Multiple criminal complaints, civil lawsuits (including 33 additional civil suits filed in 2017 and multiple constitutional lawsuits), all pending as of March 31, 2026. SEMARNAT filed another criminal complaint in October 2023 alleging incomplete remediation. The Company states it has completed all required remediation activities and believes none of the proceedings would have material effect on financial position. Confirmed no material change in status vs. Q1 2025.</w:t>
      </w:r>
    </w:p>
    <w:p>
      <w:r>
        <w:rPr>
          <w:rFonts w:ascii="Helvetica" w:hAnsi="Helvetica"/>
          <w:i/>
          <w:color w:val="333333"/>
          <w:sz w:val="20"/>
        </w:rPr>
        <w:t>Labor matters (10-Q p. 23–24):</w:t>
      </w:r>
      <w:r>
        <w:rPr>
          <w:rFonts w:ascii="Helvetica" w:hAnsi="Helvetica"/>
          <w:color w:val="333333"/>
          <w:sz w:val="20"/>
        </w:rPr>
        <w:t xml:space="preserve"> 50.4% of Peru's 5,485 employees are unionized across six unions. Long-term CBAs signed in 2024 extend through 2027–2033. San Martín mine (Mexico) strike ended August 2018; the union dispute involving the National Mining Union's Amparo challenge to the Federal Mediation Board's June 2023 ruling remains pending as of March 31, 2026. T-MEC rapid-response mechanism dismissed in April 2024. San Martín operations continue normally. Confirmed essentially unchanged vs. Q1 2025.</w:t>
      </w:r>
    </w:p>
    <w:p>
      <w:r>
        <w:rPr>
          <w:rFonts w:ascii="Helvetica" w:hAnsi="Helvetica"/>
          <w:i/>
          <w:color w:val="333333"/>
          <w:sz w:val="20"/>
        </w:rPr>
        <w:t>Michiquillay Project commitment (10-Q p. 25):</w:t>
      </w:r>
      <w:r>
        <w:rPr>
          <w:rFonts w:ascii="Helvetica" w:hAnsi="Helvetica"/>
          <w:color w:val="333333"/>
          <w:sz w:val="20"/>
        </w:rPr>
        <w:t xml:space="preserve"> Purchase price $400M; $25.0M paid ($12.5M in 2018, $12.5M in June 2021); remaining $375.0M payable only if the Company decides to develop the project. In April 2025, an extension of the pre-operational period by three years was obtained for a $21.0M cash consideration plus $15.0M in additional social investments. Analytical significance: No new commitment this quarter; extension defers the $375.0M conditional obligation. The project is in study phase with illegal miners present at Los Chancas (adjacent project), creating uncertainty for the pipeline.</w:t>
      </w:r>
    </w:p>
    <w:p>
      <w:r>
        <w:rPr>
          <w:rFonts w:ascii="Helvetica" w:hAnsi="Helvetica"/>
          <w:i/>
          <w:color w:val="333333"/>
          <w:sz w:val="20"/>
        </w:rPr>
        <w:t>Capital commitment:</w:t>
      </w:r>
      <w:r>
        <w:rPr>
          <w:rFonts w:ascii="Helvetica" w:hAnsi="Helvetica"/>
          <w:color w:val="333333"/>
          <w:sz w:val="20"/>
        </w:rPr>
        <w:t xml:space="preserve"> As of March 31, 2026, the Company had committed approximately $1,486.9M to capital investment projects — up from $948.0M committed to Tia Maria alone at Q1 2026, suggesting other projects are also in committed phases (10-Q p. 27). Operations are expected to start at Tia Maria in Q3 2027.</w:t>
      </w:r>
    </w:p>
    <w:p>
      <w:r>
        <w:rPr>
          <w:rFonts w:ascii="Helvetica" w:hAnsi="Helvetica"/>
          <w:b/>
          <w:color w:val="333333"/>
          <w:sz w:val="20"/>
        </w:rPr>
        <w:t>Note 10 — Stockholders' Equity (10-Q p. 28–30)</w:t>
      </w:r>
    </w:p>
    <w:p>
      <w:r>
        <w:rPr>
          <w:rFonts w:ascii="Helvetica" w:hAnsi="Helvetica"/>
          <w:color w:val="333333"/>
          <w:sz w:val="20"/>
        </w:rPr>
        <w:t>Treasury stock (SCC common shares) decreased from $1,625.4M to $1,452.5M during Q1 2026 due to $172.8M in stock dividends paid (0.0085 shares per common share on February 27, 2026, reducing 6,961,959 shares from treasury). Total treasury stock balance at March 31, 2026 = $1,870.5M (including 51.3M Grupo México shares held in trust). Outstanding SCC common shares in treasury = 58,531,045 at March 31, 2026 vs. 65,497,804 at December 31, 2025 — shares retired via stock dividends. The stock-based compensation expense under the Directors' Stock Award Plan was $1.0M in Q1 2026 vs. $0.3M in Q1 2025 — increased following the May 2025 extension and expansion of the Plan (annual grant of 200 additional shares per director added). The 2025 Employee Stock Purchase Plan (new, announced April 2025, purchase price ~92.52 pesos/$4.51) had 2,480,549 shares outstanding at March 31, 2026; unrecognized compensation expense of $3.9M. Analytical significance: The stock dividend program (paying dividends in treasury shares rather than cash) is a capital-management tool that reduces cash outflow while retaining the optics of shareholder returns; it inflated the reported Additional Paid-in Capital by $1,079.9M in Q1 2026 (10-Q p. 8). The actual cash dividend per share was $1.00 in Q1 2026 vs. $0.70 in Q1 2025 (+42.9%).</w:t>
      </w:r>
    </w:p>
    <w:p>
      <w:r>
        <w:rPr>
          <w:rFonts w:ascii="Helvetica" w:hAnsi="Helvetica"/>
          <w:b/>
          <w:color w:val="333333"/>
          <w:sz w:val="20"/>
        </w:rPr>
        <w:t>Note 11 — Fair Value Measurement (10-Q p. 31–32)</w:t>
      </w:r>
    </w:p>
    <w:p>
      <w:r>
        <w:rPr>
          <w:rFonts w:ascii="Helvetica" w:hAnsi="Helvetica"/>
          <w:color w:val="333333"/>
          <w:sz w:val="20"/>
        </w:rPr>
        <w:t>Long-term debt carrying value = $6,751.9M at Q1 2026; fair value = $6,800.7M — a premium of $48.8M above book, indicating the debt trades at a slight premium (rates declined vs. the coupon rates on older bonds). At Dec 31, 2025, fair value was $7,064.6M vs. carrying $6,750.7M — the fair value premium compressed by $263.9M in one quarter, indicating yields rose on SCCO bonds (consistent with broader U.S. rate moves in Q1 2026). Provisionally-priced sales embedded derivatives: copper $1,248.2M, molybdenum $425.4M, zinc $46.5M — total Level 1 assets of $2,154.2M in accounts receivable from embedded derivatives. Confirmed the change in long-term debt fair value is analytically significant: the compression from $314.4M premium (Dec 2025) to $48.8M premium (March 2026) signals that SCCO bond yields rose approximately 30–40 bps in Q1 2026.</w:t>
      </w:r>
    </w:p>
    <w:p>
      <w:r>
        <w:rPr>
          <w:rFonts w:ascii="Helvetica" w:hAnsi="Helvetica"/>
          <w:b/>
          <w:color w:val="333333"/>
          <w:sz w:val="20"/>
        </w:rPr>
        <w:t>Note 12 — Revenue by Geography and Product (10-Q p. 33–35)</w:t>
      </w:r>
    </w:p>
    <w:p>
      <w:r>
        <w:rPr>
          <w:rFonts w:ascii="Helvetica" w:hAnsi="Helvetica"/>
          <w:color w:val="333333"/>
          <w:sz w:val="20"/>
        </w:rPr>
        <w:t>Q1 2026 product breakdown: Copper $2,982.6M (70.2% of revenue), Silver $531.5M (12.5%), Molybdenum $445.5M (10.5%), Zinc $145.0M (3.4%), Other $146.8M (3.4%). Compared to Q1 2025: Copper $2,432.0M (77.9%), Silver $176.6M (5.7%), Molybdenum $300.5M (9.6%), Zinc $111.4M (3.6%), Other $101.4M (3.2%). Silver revenue grew +201.0% YoY (from $176.6M to $531.5M), driven by a 157.9% price increase and 11.6% volume increase. Copper revenue grew +22.6% despite a 4.9% volume decline, reflecting the $1.59/lb price increase. Geographic breakdown: Americas (Mexico, U.S., Peru, Brazil, Chile, Other) = $2,382.6M in Q1 2026; Europe = $1,235.9M; Asia = $633.0M. Provisionally priced outstanding as of March 31, 2026: copper 236.5M lbs at $5.59/lb (settlement April–August 2026), molybdenum 16.5M lbs at $26.50/lb (April–July 2026), zinc 47.9M lbs at $1.47/lb (April–July 2026). Confirmed changed substantially vs. Q1 2025, with silver's revenue contribution nearly tripling.</w:t>
      </w:r>
    </w:p>
    <w:p>
      <w:r>
        <w:rPr>
          <w:rFonts w:ascii="Helvetica" w:hAnsi="Helvetica"/>
          <w:b/>
          <w:color w:val="333333"/>
          <w:sz w:val="20"/>
        </w:rPr>
        <w:t>Note 13 — Segment Information (10-Q p. 35–37)</w:t>
      </w:r>
    </w:p>
    <w:p>
      <w:r>
        <w:rPr>
          <w:rFonts w:ascii="Helvetica" w:hAnsi="Helvetica"/>
          <w:color w:val="333333"/>
          <w:sz w:val="20"/>
        </w:rPr>
        <w:t>Q1 2026 vs. Q1 2025 by segment:</w:t>
      </w:r>
    </w:p>
    <w:p>
      <w:r>
        <w:rPr>
          <w:rFonts w:ascii="Helvetica" w:hAnsi="Helvetica"/>
          <w:color w:val="333333"/>
          <w:sz w:val="20"/>
        </w:rPr>
        <w:t>- Mexican Open-Pit (La Caridad, Buenavista): Net sales $2,443.5M vs. $1,749.4M (+39.7%); Operating income $1,427.5M vs. $965.5M (+47.9%). This is the dominant segment, generating 57.5% of consolidated revenue and 57.5% of consolidated operating income.</w:t>
      </w:r>
    </w:p>
    <w:p>
      <w:r>
        <w:rPr>
          <w:rFonts w:ascii="Helvetica" w:hAnsi="Helvetica"/>
          <w:color w:val="333333"/>
          <w:sz w:val="20"/>
        </w:rPr>
        <w:t>- Peruvian Operations (Toquepala, Cuajone, Ilo): Net sales $1,581.3M vs. $1,266.0M (+24.9%); Operating income $923.7M vs. $561.5M (+64.5%). Peru's cost structure improved — operating costs fell from $704.5M to $657.6M (−6.7%) despite higher revenues, driven by exchange rate benefit (Peruvian sol devalued 3.2%) and inventory variance of $68.4M.</w:t>
      </w:r>
    </w:p>
    <w:p>
      <w:r>
        <w:rPr>
          <w:rFonts w:ascii="Helvetica" w:hAnsi="Helvetica"/>
          <w:color w:val="333333"/>
          <w:sz w:val="20"/>
        </w:rPr>
        <w:t>- IMMSA (Mexican underground): Net sales $318.5M vs. $155.5M (+104.9%); Operating income $140.8M vs. $18.4M (+665.2%). IMMSA's outsized growth reflects the surge in silver prices (IMMSA is the primary silver producer) and copper volume increase (+42.7%).</w:t>
      </w:r>
    </w:p>
    <w:p>
      <w:r>
        <w:rPr>
          <w:rFonts w:ascii="Helvetica" w:hAnsi="Helvetica"/>
          <w:color w:val="333333"/>
          <w:sz w:val="20"/>
        </w:rPr>
        <w:t>- Total assets by segment: Mexican Open-Pit $9,798.4M, Peruvian $5,575.1M, IMMSA $1,517.3M, Corporate/eliminations $5,039.2M.</w:t>
      </w:r>
    </w:p>
    <w:p>
      <w:r>
        <w:rPr>
          <w:rFonts w:ascii="Helvetica" w:hAnsi="Helvetica"/>
          <w:b/>
          <w:color w:val="333333"/>
          <w:sz w:val="20"/>
        </w:rPr>
        <w:t>Note 14 — Earnings Per Share (10-Q p. 37)</w:t>
      </w:r>
    </w:p>
    <w:p>
      <w:r>
        <w:rPr>
          <w:rFonts w:ascii="Helvetica" w:hAnsi="Helvetica"/>
          <w:color w:val="333333"/>
          <w:sz w:val="20"/>
        </w:rPr>
        <w:t>EPS (basic and diluted, attributable to SCC) = $1.92 in Q1 2026 vs. $1.15 in Q1 2025 (+66.8%). Weighted average shares outstanding: 821.7M shares (Q1 2026) vs. 821.6M (Q1 2025) — essentially flat; no meaningful dilution. Note: EPS has been retroactively adjusted for stock dividends paid in May 2025, September 2025, November 2025, and February 2026 (total of four stock dividends in approximately 12 months). The data pack EPS of $1.90 is the retroactively adjusted figure used in the Excel model, while $1.92 is the as-reported figure in the 10-Q (10-Q p. 37 — minor rounding difference in the retroactive adjustment).</w:t>
      </w:r>
    </w:p>
    <w:p>
      <w:r>
        <w:rPr>
          <w:rFonts w:ascii="Helvetica" w:hAnsi="Helvetica"/>
          <w:b/>
          <w:color w:val="333333"/>
          <w:sz w:val="20"/>
        </w:rPr>
        <w:t>Note 15 — Subsequent Events (10-Q p. 37)</w:t>
      </w:r>
    </w:p>
    <w:p>
      <w:r>
        <w:rPr>
          <w:rFonts w:ascii="Helvetica" w:hAnsi="Helvetica"/>
          <w:color w:val="333333"/>
          <w:sz w:val="20"/>
        </w:rPr>
        <w:t>Two material subsequent events are disclosed:</w:t>
      </w:r>
    </w:p>
    <w:p>
      <w:r>
        <w:rPr>
          <w:rFonts w:ascii="Helvetica" w:hAnsi="Helvetica"/>
          <w:color w:val="333333"/>
          <w:sz w:val="20"/>
        </w:rPr>
        <w:t xml:space="preserve">1. </w:t>
      </w:r>
      <w:r>
        <w:rPr>
          <w:rFonts w:ascii="Helvetica" w:hAnsi="Helvetica"/>
          <w:b/>
          <w:color w:val="333333"/>
          <w:sz w:val="20"/>
        </w:rPr>
        <w:t>CEO Death and Appointment:</w:t>
      </w:r>
      <w:r>
        <w:rPr>
          <w:rFonts w:ascii="Helvetica" w:hAnsi="Helvetica"/>
          <w:color w:val="333333"/>
          <w:sz w:val="20"/>
        </w:rPr>
        <w:t xml:space="preserve"> Oscar Gonzalez Rocha, President and CEO, passed away unexpectedly on April 7, 2026. On April 23, 2026, the Board appointed Leonardo Contreras Lerdo de Tejada as the new CEO. This is a significant governance event. Gonzalez Rocha had been the cornerstone of SCCO's leadership for 50 years (10-Q p. 2). The transition to a new CEO at this stage — with Tia Maria under construction at 32.5% completion, multiple unresolved litigation matters, and a politically sensitive community engagement program in Peru — introduces leadership continuity risk. No financial impact is quantified.</w:t>
      </w:r>
    </w:p>
    <w:p>
      <w:r>
        <w:rPr>
          <w:rFonts w:ascii="Helvetica" w:hAnsi="Helvetica"/>
          <w:color w:val="333333"/>
          <w:sz w:val="20"/>
        </w:rPr>
        <w:t xml:space="preserve">2. </w:t>
      </w:r>
      <w:r>
        <w:rPr>
          <w:rFonts w:ascii="Helvetica" w:hAnsi="Helvetica"/>
          <w:b/>
          <w:color w:val="333333"/>
          <w:sz w:val="20"/>
        </w:rPr>
        <w:t>Dividend declaration:</w:t>
      </w:r>
      <w:r>
        <w:rPr>
          <w:rFonts w:ascii="Helvetica" w:hAnsi="Helvetica"/>
          <w:color w:val="333333"/>
          <w:sz w:val="20"/>
        </w:rPr>
        <w:t xml:space="preserve"> On April 23, 2026, the Board authorized a quarterly cash dividend of $1.00/share and a stock dividend of 0.0100 shares/share, payable May 29, 2026 to shareholders of record at May 13, 2026. In lieu of fractional shares, the reference share price for cash settlement is $187.45 (average of high/low on April 23, 2026). This represents the same $1.00/share cash dividend rate as Q1 2026 — maintained, not cut. Analytical significance: The CEO transition is the primary concern. The dividend maintenance confirms no financial distress signal from management's perspective.</w:t>
      </w:r>
    </w:p>
    <w:p>
      <w:r>
        <w:rPr>
          <w:rFonts w:ascii="Helvetica" w:hAnsi="Helvetica"/>
          <w:color w:val="333333"/>
          <w:sz w:val="20"/>
        </w:rPr>
        <w:t>---</w:t>
      </w:r>
    </w:p>
    <w:p>
      <w:pPr>
        <w:pStyle w:val="Heading2"/>
      </w:pPr>
      <w:r>
        <w:rPr>
          <w:rFonts w:ascii="Helvetica" w:hAnsi="Helvetica"/>
          <w:b/>
          <w:color w:val="6B000C"/>
          <w:sz w:val="32"/>
        </w:rPr>
        <w:t>7.5 What Changed This Quarter</w:t>
      </w:r>
    </w:p>
    <w:p>
      <w:r>
        <w:rPr>
          <w:rFonts w:ascii="Helvetica" w:hAnsi="Helvetica"/>
          <w:color w:val="333333"/>
          <w:sz w:val="20"/>
        </w:rPr>
        <w:t xml:space="preserve">- </w:t>
      </w:r>
      <w:r>
        <w:rPr>
          <w:rFonts w:ascii="Helvetica" w:hAnsi="Helvetica"/>
          <w:b/>
          <w:color w:val="333333"/>
          <w:sz w:val="20"/>
        </w:rPr>
        <w:t>Silver revenue nearly tripled (+201% YoY to $531.5M), becoming SCCO's largest by-product</w:t>
      </w:r>
      <w:r>
        <w:rPr>
          <w:rFonts w:ascii="Helvetica" w:hAnsi="Helvetica"/>
          <w:color w:val="333333"/>
          <w:sz w:val="20"/>
        </w:rPr>
        <w:t xml:space="preserve"> at 12.5% of revenue vs. 5.7% in Q1 2025. Silver at $83.33/oz (vs. $32.31/oz in Q1 2025, +157.9%) drove 47% of the total YoY revenue increase. This is not a thesis change — SCCO's base case was built on copper as the primary driver — but it significantly inflates short-term earnings and multiples. If silver mean-reverts toward $35–40/oz, quarterly revenue would fall approximately $260–295M and EBITDA by approximately $165–185M, erasing roughly 60% of the YoY EBITDA improvement.</w:t>
      </w:r>
    </w:p>
    <w:p>
      <w:r>
        <w:rPr>
          <w:rFonts w:ascii="Helvetica" w:hAnsi="Helvetica"/>
          <w:color w:val="333333"/>
          <w:sz w:val="20"/>
        </w:rPr>
        <w:t xml:space="preserve">- </w:t>
      </w:r>
      <w:r>
        <w:rPr>
          <w:rFonts w:ascii="Helvetica" w:hAnsi="Helvetica"/>
          <w:b/>
          <w:color w:val="333333"/>
          <w:sz w:val="20"/>
        </w:rPr>
        <w:t>Copper production declined 4.0% YoY to 508.3M lbs (from 529.6M lbs), driven by ore grade deterioration at Toquepala (−8.4%), Cuajone (−11.9%), IMMSA (−4.6%), and Buenavista (−0.8%).</w:t>
      </w:r>
      <w:r>
        <w:rPr>
          <w:rFonts w:ascii="Helvetica" w:hAnsi="Helvetica"/>
          <w:color w:val="333333"/>
          <w:sz w:val="20"/>
        </w:rPr>
        <w:t xml:space="preserve"> This confirms the operational thesis risk: SCCO's copper output is declining at its core mines while the Tia Maria growth project is still 18+ months from production. The Company raised its full-year 2026 copper production guidance to 915,400 tonnes (vs. plan of 911,400 tonnes), but Q1 2026 production of 230.6k tonnes (508.3M lbs) implies an annualized run rate of approximately 922k tonnes — marginally above guidance and below the level required to sustain current EV/EBITDA multiples at normalized copper prices.</w:t>
      </w:r>
    </w:p>
    <w:p>
      <w:r>
        <w:rPr>
          <w:rFonts w:ascii="Helvetica" w:hAnsi="Helvetica"/>
          <w:color w:val="333333"/>
          <w:sz w:val="20"/>
        </w:rPr>
        <w:t xml:space="preserve">- </w:t>
      </w:r>
      <w:r>
        <w:rPr>
          <w:rFonts w:ascii="Helvetica" w:hAnsi="Helvetica"/>
          <w:b/>
          <w:color w:val="333333"/>
          <w:sz w:val="20"/>
        </w:rPr>
        <w:t>Net operating cash cost per pound turned negative at ($0.11)/lb in Q1 2026</w:t>
      </w:r>
      <w:r>
        <w:rPr>
          <w:rFonts w:ascii="Helvetica" w:hAnsi="Helvetica"/>
          <w:color w:val="333333"/>
          <w:sz w:val="20"/>
        </w:rPr>
        <w:t xml:space="preserve"> (vs. $0.77/lb cost in Q1 2025), driven entirely by by-product revenue credits of $2.41/lb. This is an extraordinary but temporary condition — if silver and molybdenum prices normalize, the by-product credit will fall sharply and the gross cash cost of $2.31/lb will reassert itself. This metric does not change the long-run earnings power used in the DCF.</w:t>
      </w:r>
    </w:p>
    <w:p>
      <w:r>
        <w:rPr>
          <w:rFonts w:ascii="Helvetica" w:hAnsi="Helvetica"/>
          <w:color w:val="333333"/>
          <w:sz w:val="20"/>
        </w:rPr>
        <w:t xml:space="preserve">- </w:t>
      </w:r>
      <w:r>
        <w:rPr>
          <w:rFonts w:ascii="Helvetica" w:hAnsi="Helvetica"/>
          <w:b/>
          <w:color w:val="333333"/>
          <w:sz w:val="20"/>
        </w:rPr>
        <w:t>CEO Oscar Gonzalez Rocha died unexpectedly on April 7, 2026 (10-Q p. 2, p. 37 — Note 15).</w:t>
      </w:r>
      <w:r>
        <w:rPr>
          <w:rFonts w:ascii="Helvetica" w:hAnsi="Helvetica"/>
          <w:color w:val="333333"/>
          <w:sz w:val="20"/>
        </w:rPr>
        <w:t xml:space="preserve"> The Board appointed Leonardo Contreras Lerdo de Tejada as the new CEO on April 23, 2026. Gonzalez Rocha had managed SCCO for 50 years and was personally central to the Company's community and government relationships in Peru and Mexico. His replacement is untested in the CEO role. This introduces unquantifiable but meaningful leadership continuity risk at a critical moment — Tia Maria construction is at 32.5% completion, and SCCO faces eight active lawsuits over the project, multiple ongoing community engagement commitments, and negotiations with Mexican and Peruvian governments over its $10.3B+ Peruvian and $10.2B Mexican investment pipelines.</w:t>
      </w:r>
    </w:p>
    <w:p>
      <w:r>
        <w:rPr>
          <w:rFonts w:ascii="Helvetica" w:hAnsi="Helvetica"/>
          <w:color w:val="333333"/>
          <w:sz w:val="20"/>
        </w:rPr>
        <w:t xml:space="preserve">- </w:t>
      </w:r>
      <w:r>
        <w:rPr>
          <w:rFonts w:ascii="Helvetica" w:hAnsi="Helvetica"/>
          <w:b/>
          <w:color w:val="333333"/>
          <w:sz w:val="20"/>
        </w:rPr>
        <w:t>The Asarco LLC purchase volume collapsed 85% YoY to $1.2M in Q1 2026 from $7.8M in Q1 2025 (10-Q p. 13).</w:t>
      </w:r>
      <w:r>
        <w:rPr>
          <w:rFonts w:ascii="Helvetica" w:hAnsi="Helvetica"/>
          <w:color w:val="333333"/>
          <w:sz w:val="20"/>
        </w:rPr>
        <w:t xml:space="preserve"> This reverses what the prior forensic analysis (F001/F002/F003) flagged as a 15× surge in Asarco purchases in FY2025. The Q1 2026 reversal is unexplained — the 10-Q provides no disclosure about any change in the Asarco supply arrangement. This requires follow-up at the Q2 2026 filing to determine whether the FY2025 surge was a one-time inventory build or whether the supply relationship has structurally changed.</w:t>
      </w:r>
    </w:p>
    <w:p>
      <w:r>
        <w:rPr>
          <w:rFonts w:ascii="Helvetica" w:hAnsi="Helvetica"/>
          <w:color w:val="333333"/>
          <w:sz w:val="20"/>
        </w:rPr>
        <w:t xml:space="preserve">- </w:t>
      </w:r>
      <w:r>
        <w:rPr>
          <w:rFonts w:ascii="Helvetica" w:hAnsi="Helvetica"/>
          <w:b/>
          <w:color w:val="333333"/>
          <w:sz w:val="20"/>
        </w:rPr>
        <w:t>The Sonora solidarity contribution of up to $87M (~1.5 billion pesos) was disclosed and partially executed in Q1 2026 ($29.0M paid).</w:t>
      </w:r>
      <w:r>
        <w:rPr>
          <w:rFonts w:ascii="Helvetica" w:hAnsi="Helvetica"/>
          <w:color w:val="333333"/>
          <w:sz w:val="20"/>
        </w:rPr>
        <w:t xml:space="preserve"> This is a new, above-budget cost item not visible in prior-year comparisons. It added $28.7M to Q1 2026 operating costs and is presented as a "voluntary" contribution, but the corporate approval and specificity of the payment (to the Mexican Institute of Social Security in Sonora) suggests this is a quasi-governmental obligation likely to recur or be followed by additional payments in 2026. Total remaining authorization: up to $58M more in 2026.</w:t>
      </w:r>
    </w:p>
    <w:p>
      <w:r>
        <w:rPr>
          <w:rFonts w:ascii="Helvetica" w:hAnsi="Helvetica"/>
          <w:color w:val="333333"/>
          <w:sz w:val="20"/>
        </w:rPr>
        <w:t>---</w:t>
      </w:r>
    </w:p>
    <w:p>
      <w:pPr>
        <w:pStyle w:val="Heading2"/>
      </w:pPr>
      <w:r>
        <w:rPr>
          <w:rFonts w:ascii="Helvetica" w:hAnsi="Helvetica"/>
          <w:b/>
          <w:color w:val="6B000C"/>
          <w:sz w:val="32"/>
        </w:rPr>
        <w:t>7.6 Portfolio Decision</w:t>
      </w:r>
    </w:p>
    <w:p>
      <w:r>
        <w:rPr>
          <w:rFonts w:ascii="Helvetica" w:hAnsi="Helvetica"/>
          <w:b/>
          <w:color w:val="333333"/>
          <w:sz w:val="20"/>
        </w:rPr>
        <w:t>Why REDUCE:</w:t>
      </w:r>
    </w:p>
    <w:p>
      <w:r>
        <w:rPr>
          <w:rFonts w:ascii="Helvetica" w:hAnsi="Helvetica"/>
          <w:color w:val="333333"/>
          <w:sz w:val="20"/>
        </w:rPr>
        <w:t>Q1 2026 was the strongest quarterly result in SCCO's recent history — $4,251.4M revenue, $2,706.1M EBITDA (63.6% margin), and $1,252.6M FCF — but this strength is almost entirely a function of silver rising +157.9% and copper rising +37.5% in a single quarter, not of any operational improvement. Copper production actually fell 4.0% YoY to 508.3M lbs, cost-per-pound before by-products rose to $2.31/lb (vs. $2.05/lb), and the operating leverage visible in the reported numbers is a price mirage: reverse the silver price to $35/oz and the copper price to $4.00/lb (its five-year average), and SCCO's quarterly revenue falls to approximately $2,200M and EBITDA to approximately $1,050–1,100M — a level already priced into Section 2–6's base-case DCF. At $181.78/share, the stock is priced at approximately 20× trailing EV/EBITDA vs. the DCF-implied fair value of $73.68/share — a 147% premium. The footnote review adds three distinct risk factors that reinforce the REDUCE position: (1) related-party opacity persists — $74.0M net quarterly outflow to Grupo México affiliates at non-validated pricing, locked in via long-term contracts through 2032–2040; (2) the unexpected CEO death of Oscar Gonzalez Rocha on April 7, 2026 introduces genuine leadership continuity risk at a critical construction/political moment, with the successor (Contreras) entirely untested in the role; and (3) the unexplained Asarco purchase collapse (from $7.8M to $1.2M in one quarter) requires monitoring. The combination of a commodity-driven earnings spike that will not sustain at current metal prices, unresolved structural governance risks, and a stock price that remains near its all-time high at a ~147% premium to DCF intrinsic value makes a REDUCE the only defensible action.</w:t>
      </w:r>
    </w:p>
    <w:p>
      <w:r>
        <w:rPr>
          <w:rFonts w:ascii="Helvetica" w:hAnsi="Helvetica"/>
          <w:b/>
          <w:color w:val="333333"/>
          <w:sz w:val="20"/>
        </w:rPr>
        <w:t>What would change this view:</w:t>
      </w:r>
    </w:p>
    <w:p>
      <w:r>
        <w:rPr>
          <w:rFonts w:ascii="Helvetica" w:hAnsi="Helvetica"/>
          <w:color w:val="333333"/>
          <w:sz w:val="20"/>
        </w:rPr>
        <w:t xml:space="preserve">- </w:t>
      </w:r>
      <w:r>
        <w:rPr>
          <w:rFonts w:ascii="Helvetica" w:hAnsi="Helvetica"/>
          <w:b/>
          <w:color w:val="333333"/>
          <w:sz w:val="20"/>
        </w:rPr>
        <w:t>Upgrade condition (to HOLD):</w:t>
      </w:r>
      <w:r>
        <w:rPr>
          <w:rFonts w:ascii="Helvetica" w:hAnsi="Helvetica"/>
          <w:color w:val="333333"/>
          <w:sz w:val="20"/>
        </w:rPr>
        <w:t xml:space="preserve"> If SCCO's stock corrects to $130 or below (a ~29% decline from the current ~$181.78), which would represent approximately 2.2× the DCF intrinsic value of $73.68/share, and if Q2 2026 demonstrates that copper production stabilizes at or above 520M lbs with no further grade deterioration at Toquepala or Cuajone — at that price level, the copper-optionality argument begins to have enough margin of safety to warrant holding rather than reducing.</w:t>
      </w:r>
    </w:p>
    <w:p>
      <w:r>
        <w:rPr>
          <w:rFonts w:ascii="Helvetica" w:hAnsi="Helvetica"/>
          <w:color w:val="333333"/>
          <w:sz w:val="20"/>
        </w:rPr>
        <w:t xml:space="preserve">- </w:t>
      </w:r>
      <w:r>
        <w:rPr>
          <w:rFonts w:ascii="Helvetica" w:hAnsi="Helvetica"/>
          <w:b/>
          <w:color w:val="333333"/>
          <w:sz w:val="20"/>
        </w:rPr>
        <w:t>Downgrade condition (to EXIT):</w:t>
      </w:r>
      <w:r>
        <w:rPr>
          <w:rFonts w:ascii="Helvetica" w:hAnsi="Helvetica"/>
          <w:color w:val="333333"/>
          <w:sz w:val="20"/>
        </w:rPr>
        <w:t xml:space="preserve"> If LME copper falls below $4.50/lb and sustains that level for two consecutive months; or if the new CEO (Contreras) demonstrates a change in dividend policy or capital allocation toward affiliate transactions not subject to Audit Committee review; or if the Tia Maria project experiences a material court-ordered suspension (any of the eight pending lawsuits results in a construction injunction). Any of these three events would eliminate the primary optionality premium that justifies holding SCCO above DCF intrinsic value and would warrant full exit from the position.</w:t>
      </w:r>
    </w:p>
    <w:sectPr>
      <w:headerReference w:type="default" r:id="rId6"/>
      <w:footerReference w:type="default" r:id="rId7"/>
      <w:pgSz w:w="11906" w:h="16838" w:orient="portrait"/>
      <w:pgMar w:top="1440" w:right="1440" w:bottom="1440" w:left="1440" w:header="708" w:footer="4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2" w:space="6"/>
      </w:pBdr>
      <w:jc w:val="center"/>
    </w:pPr>
    <w:r>
      <w:drawing>
        <wp:inline distT="0" distB="0" distL="0" distR="0">
          <wp:extent cx="1143000" cy="342900"/>
          <wp:effectExtent t="0" r="0" b="0" l="0"/>
          <wp:docPr id="1" name="FL" descr="FL logo" title="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342900"/>
                  </a:xfrm>
                  <a:prstGeom prst="rect">
                    <a:avLst/>
                  </a:prstGeom>
                </pic:spPr>
              </pic:pic>
            </a:graphicData>
          </a:graphic>
        </wp:inline>
      </w:drawing>
    </w:r>
  </w:p>
  <w:p>
    <w:pPr>
      <w:spacing w:before="40"/>
      <w:jc w:val="right"/>
    </w:pPr>
    <w:r>
      <w:rPr>
        <w:rFonts w:ascii="Helvetica" w:cs="Helvetica" w:eastAsia="Helvetica" w:hAnsi="Helvetica"/>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b000c" w:sz="3" w:space="6"/>
      </w:pBdr>
      <w:tabs>
        <w:tab w:val="right" w:pos="9026"/>
      </w:tabs>
      <w:spacing w:after="120"/>
    </w:pPr>
    <w:r>
      <w:rPr>
        <w:rFonts w:ascii="Helvetica" w:cs="Helvetica" w:eastAsia="Helvetica" w:hAnsi="Helvetica"/>
        <w:b/>
        <w:bCs/>
        <w:color w:val="6b000c"/>
        <w:sz w:val="16"/>
        <w:szCs w:val="16"/>
      </w:rPr>
      <w:t xml:space="preserve">Southern Copper Corporation</w:t>
    </w:r>
    <w:r>
      <w:rPr>
        <w:rFonts w:ascii="Helvetica" w:cs="Helvetica" w:eastAsia="Helvetica" w:hAnsi="Helvetica"/>
        <w:color w:val="666666"/>
        <w:sz w:val="16"/>
        <w:szCs w:val="16"/>
      </w:rPr>
      <w:t xml:space="preserve">	SCCO  |  Stock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tru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default="1" w:styleId="Normal">
    <w:name w:val="Normal"/>
    <w:rPr>
      <w:rFonts w:ascii="Helvetica" w:hAnsi="Helvetica"/>
      <w:sz w:val="20"/>
      <w:szCs w:val="20"/>
      <w:color w:val="333333"/>
    </w:rPr>
    <w:pPr>
      <w:jc w:val="both"/>
      <w:spacing w:after="100" w:line="276"/>
    </w:p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bd6429a6cf2be8a4c50834549f6a78ca80c18277.png"/><Relationship Id="rId9" Type="http://schemas.openxmlformats.org/officeDocument/2006/relationships/fontTable" Target="fontTable.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s>
</file>

<file path=word/_rels/footer1.xml.rels><?xml version='1.0' encoding='UTF-8' standalone='yes'?>
<Relationships xmlns="http://schemas.openxmlformats.org/package/2006/relationships"><Relationship Id="rId0" Type="http://schemas.openxmlformats.org/officeDocument/2006/relationships/image" Target="media/bd6429a6cf2be8a4c50834549f6a78ca80c1827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2026-03-16T11:09:55.786Z</dcterms:created>
  <dcterms:modified xsi:type="dcterms:W3CDTF">2026-03-16T11:09:55.788Z</dcterms:modified>
</cp:coreProperties>
</file>

<file path=docProps/custom.xml><?xml version="1.0" encoding="utf-8"?>
<Properties xmlns="http://schemas.openxmlformats.org/officeDocument/2006/custom-properties" xmlns:vt="http://schemas.openxmlformats.org/officeDocument/2006/docPropsVTypes"/>
</file>